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58E80" w14:textId="77777777" w:rsidR="00024BBF" w:rsidRPr="00623093" w:rsidRDefault="004B519B" w:rsidP="003B6D71">
      <w:pPr>
        <w:pStyle w:val="Titre"/>
      </w:pPr>
      <w:r w:rsidRPr="00623093">
        <w:t>Structure Fribourg</w:t>
      </w:r>
    </w:p>
    <w:p w14:paraId="6D58C107" w14:textId="77777777" w:rsidR="003B6D71" w:rsidRPr="00623093" w:rsidRDefault="003B6D71" w:rsidP="003B6D71"/>
    <w:p w14:paraId="0B1B7CB9" w14:textId="562DBA09" w:rsidR="003C05AB" w:rsidRDefault="00E07530">
      <w:pPr>
        <w:pStyle w:val="TM1"/>
        <w:tabs>
          <w:tab w:val="right" w:leader="dot" w:pos="906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fr-CH"/>
        </w:rPr>
      </w:pPr>
      <w:r w:rsidRPr="00623093">
        <w:fldChar w:fldCharType="begin"/>
      </w:r>
      <w:r w:rsidRPr="00623093">
        <w:instrText xml:space="preserve"> TOC \o "1-3" \h \z \u </w:instrText>
      </w:r>
      <w:r w:rsidRPr="00623093">
        <w:fldChar w:fldCharType="separate"/>
      </w:r>
      <w:hyperlink w:anchor="_Toc8333179" w:history="1">
        <w:r w:rsidR="003C05AB" w:rsidRPr="00DE1F2C">
          <w:rPr>
            <w:rStyle w:val="Lienhypertexte"/>
            <w:noProof/>
          </w:rPr>
          <w:t>1. Schéma</w:t>
        </w:r>
        <w:r w:rsidR="003C05AB">
          <w:rPr>
            <w:noProof/>
            <w:webHidden/>
          </w:rPr>
          <w:tab/>
        </w:r>
        <w:r w:rsidR="003C05AB">
          <w:rPr>
            <w:noProof/>
            <w:webHidden/>
          </w:rPr>
          <w:fldChar w:fldCharType="begin"/>
        </w:r>
        <w:r w:rsidR="003C05AB">
          <w:rPr>
            <w:noProof/>
            <w:webHidden/>
          </w:rPr>
          <w:instrText xml:space="preserve"> PAGEREF _Toc8333179 \h </w:instrText>
        </w:r>
        <w:r w:rsidR="003C05AB">
          <w:rPr>
            <w:noProof/>
            <w:webHidden/>
          </w:rPr>
        </w:r>
        <w:r w:rsidR="003C05AB">
          <w:rPr>
            <w:noProof/>
            <w:webHidden/>
          </w:rPr>
          <w:fldChar w:fldCharType="separate"/>
        </w:r>
        <w:r w:rsidR="0012530C">
          <w:rPr>
            <w:noProof/>
            <w:webHidden/>
          </w:rPr>
          <w:t>1</w:t>
        </w:r>
        <w:r w:rsidR="003C05AB">
          <w:rPr>
            <w:noProof/>
            <w:webHidden/>
          </w:rPr>
          <w:fldChar w:fldCharType="end"/>
        </w:r>
      </w:hyperlink>
    </w:p>
    <w:p w14:paraId="388C7B75" w14:textId="7177E1B6" w:rsidR="003C05AB" w:rsidRDefault="003B5E7A">
      <w:pPr>
        <w:pStyle w:val="TM1"/>
        <w:tabs>
          <w:tab w:val="right" w:leader="dot" w:pos="906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fr-CH"/>
        </w:rPr>
      </w:pPr>
      <w:hyperlink w:anchor="_Toc8333180" w:history="1">
        <w:r w:rsidR="003C05AB" w:rsidRPr="00DE1F2C">
          <w:rPr>
            <w:rStyle w:val="Lienhypertexte"/>
            <w:noProof/>
          </w:rPr>
          <w:t>2. Règles générales</w:t>
        </w:r>
        <w:r w:rsidR="003C05AB">
          <w:rPr>
            <w:noProof/>
            <w:webHidden/>
          </w:rPr>
          <w:tab/>
        </w:r>
        <w:r w:rsidR="003C05AB">
          <w:rPr>
            <w:noProof/>
            <w:webHidden/>
          </w:rPr>
          <w:fldChar w:fldCharType="begin"/>
        </w:r>
        <w:r w:rsidR="003C05AB">
          <w:rPr>
            <w:noProof/>
            <w:webHidden/>
          </w:rPr>
          <w:instrText xml:space="preserve"> PAGEREF _Toc8333180 \h </w:instrText>
        </w:r>
        <w:r w:rsidR="003C05AB">
          <w:rPr>
            <w:noProof/>
            <w:webHidden/>
          </w:rPr>
        </w:r>
        <w:r w:rsidR="003C05AB">
          <w:rPr>
            <w:noProof/>
            <w:webHidden/>
          </w:rPr>
          <w:fldChar w:fldCharType="separate"/>
        </w:r>
        <w:r w:rsidR="0012530C">
          <w:rPr>
            <w:noProof/>
            <w:webHidden/>
          </w:rPr>
          <w:t>2</w:t>
        </w:r>
        <w:r w:rsidR="003C05AB">
          <w:rPr>
            <w:noProof/>
            <w:webHidden/>
          </w:rPr>
          <w:fldChar w:fldCharType="end"/>
        </w:r>
      </w:hyperlink>
    </w:p>
    <w:p w14:paraId="0068FE77" w14:textId="66DA5AE2" w:rsidR="003C05AB" w:rsidRDefault="003B5E7A">
      <w:pPr>
        <w:pStyle w:val="TM1"/>
        <w:tabs>
          <w:tab w:val="right" w:leader="dot" w:pos="906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fr-CH"/>
        </w:rPr>
      </w:pPr>
      <w:hyperlink w:anchor="_Toc8333181" w:history="1">
        <w:r w:rsidR="003C05AB" w:rsidRPr="00DE1F2C">
          <w:rPr>
            <w:rStyle w:val="Lienhypertexte"/>
            <w:noProof/>
          </w:rPr>
          <w:t>3. Les Différents organes</w:t>
        </w:r>
        <w:r w:rsidR="003C05AB">
          <w:rPr>
            <w:noProof/>
            <w:webHidden/>
          </w:rPr>
          <w:tab/>
        </w:r>
        <w:r w:rsidR="003C05AB">
          <w:rPr>
            <w:noProof/>
            <w:webHidden/>
          </w:rPr>
          <w:fldChar w:fldCharType="begin"/>
        </w:r>
        <w:r w:rsidR="003C05AB">
          <w:rPr>
            <w:noProof/>
            <w:webHidden/>
          </w:rPr>
          <w:instrText xml:space="preserve"> PAGEREF _Toc8333181 \h </w:instrText>
        </w:r>
        <w:r w:rsidR="003C05AB">
          <w:rPr>
            <w:noProof/>
            <w:webHidden/>
          </w:rPr>
        </w:r>
        <w:r w:rsidR="003C05AB">
          <w:rPr>
            <w:noProof/>
            <w:webHidden/>
          </w:rPr>
          <w:fldChar w:fldCharType="separate"/>
        </w:r>
        <w:r w:rsidR="0012530C">
          <w:rPr>
            <w:noProof/>
            <w:webHidden/>
          </w:rPr>
          <w:t>2</w:t>
        </w:r>
        <w:r w:rsidR="003C05AB">
          <w:rPr>
            <w:noProof/>
            <w:webHidden/>
          </w:rPr>
          <w:fldChar w:fldCharType="end"/>
        </w:r>
      </w:hyperlink>
    </w:p>
    <w:p w14:paraId="56F6CF3B" w14:textId="0A2706D5" w:rsidR="003C05AB" w:rsidRDefault="003B5E7A">
      <w:pPr>
        <w:pStyle w:val="TM1"/>
        <w:tabs>
          <w:tab w:val="right" w:leader="dot" w:pos="906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fr-CH"/>
        </w:rPr>
      </w:pPr>
      <w:hyperlink w:anchor="_Toc8333182" w:history="1">
        <w:r w:rsidR="003C05AB" w:rsidRPr="00DE1F2C">
          <w:rPr>
            <w:rStyle w:val="Lienhypertexte"/>
            <w:noProof/>
          </w:rPr>
          <w:t>4. Documents officiels</w:t>
        </w:r>
        <w:r w:rsidR="003C05AB">
          <w:rPr>
            <w:noProof/>
            <w:webHidden/>
          </w:rPr>
          <w:tab/>
        </w:r>
        <w:r w:rsidR="003C05AB">
          <w:rPr>
            <w:noProof/>
            <w:webHidden/>
          </w:rPr>
          <w:fldChar w:fldCharType="begin"/>
        </w:r>
        <w:r w:rsidR="003C05AB">
          <w:rPr>
            <w:noProof/>
            <w:webHidden/>
          </w:rPr>
          <w:instrText xml:space="preserve"> PAGEREF _Toc8333182 \h </w:instrText>
        </w:r>
        <w:r w:rsidR="003C05AB">
          <w:rPr>
            <w:noProof/>
            <w:webHidden/>
          </w:rPr>
        </w:r>
        <w:r w:rsidR="003C05AB">
          <w:rPr>
            <w:noProof/>
            <w:webHidden/>
          </w:rPr>
          <w:fldChar w:fldCharType="separate"/>
        </w:r>
        <w:r w:rsidR="0012530C">
          <w:rPr>
            <w:noProof/>
            <w:webHidden/>
          </w:rPr>
          <w:t>4</w:t>
        </w:r>
        <w:r w:rsidR="003C05AB">
          <w:rPr>
            <w:noProof/>
            <w:webHidden/>
          </w:rPr>
          <w:fldChar w:fldCharType="end"/>
        </w:r>
      </w:hyperlink>
    </w:p>
    <w:p w14:paraId="5578E685" w14:textId="5D898C7A" w:rsidR="003C05AB" w:rsidRDefault="003B5E7A">
      <w:pPr>
        <w:pStyle w:val="TM2"/>
        <w:tabs>
          <w:tab w:val="right" w:leader="dot" w:pos="9062"/>
        </w:tabs>
        <w:rPr>
          <w:rFonts w:eastAsiaTheme="minorEastAsia" w:cstheme="minorBidi"/>
          <w:smallCaps w:val="0"/>
          <w:noProof/>
          <w:sz w:val="22"/>
          <w:szCs w:val="22"/>
          <w:lang w:eastAsia="fr-CH"/>
        </w:rPr>
      </w:pPr>
      <w:hyperlink w:anchor="_Toc8333183" w:history="1">
        <w:r w:rsidR="003C05AB" w:rsidRPr="00DE1F2C">
          <w:rPr>
            <w:rStyle w:val="Lienhypertexte"/>
            <w:noProof/>
          </w:rPr>
          <w:t>4.1 Registre</w:t>
        </w:r>
        <w:r w:rsidR="003C05AB">
          <w:rPr>
            <w:noProof/>
            <w:webHidden/>
          </w:rPr>
          <w:tab/>
        </w:r>
        <w:r w:rsidR="003C05AB">
          <w:rPr>
            <w:noProof/>
            <w:webHidden/>
          </w:rPr>
          <w:fldChar w:fldCharType="begin"/>
        </w:r>
        <w:r w:rsidR="003C05AB">
          <w:rPr>
            <w:noProof/>
            <w:webHidden/>
          </w:rPr>
          <w:instrText xml:space="preserve"> PAGEREF _Toc8333183 \h </w:instrText>
        </w:r>
        <w:r w:rsidR="003C05AB">
          <w:rPr>
            <w:noProof/>
            <w:webHidden/>
          </w:rPr>
        </w:r>
        <w:r w:rsidR="003C05AB">
          <w:rPr>
            <w:noProof/>
            <w:webHidden/>
          </w:rPr>
          <w:fldChar w:fldCharType="separate"/>
        </w:r>
        <w:r w:rsidR="0012530C">
          <w:rPr>
            <w:noProof/>
            <w:webHidden/>
          </w:rPr>
          <w:t>4</w:t>
        </w:r>
        <w:r w:rsidR="003C05AB">
          <w:rPr>
            <w:noProof/>
            <w:webHidden/>
          </w:rPr>
          <w:fldChar w:fldCharType="end"/>
        </w:r>
      </w:hyperlink>
    </w:p>
    <w:p w14:paraId="1A306D9C" w14:textId="0827C148" w:rsidR="003C05AB" w:rsidRDefault="003B5E7A">
      <w:pPr>
        <w:pStyle w:val="TM2"/>
        <w:tabs>
          <w:tab w:val="right" w:leader="dot" w:pos="9062"/>
        </w:tabs>
        <w:rPr>
          <w:rFonts w:eastAsiaTheme="minorEastAsia" w:cstheme="minorBidi"/>
          <w:smallCaps w:val="0"/>
          <w:noProof/>
          <w:sz w:val="22"/>
          <w:szCs w:val="22"/>
          <w:lang w:eastAsia="fr-CH"/>
        </w:rPr>
      </w:pPr>
      <w:hyperlink w:anchor="_Toc8333184" w:history="1">
        <w:r w:rsidR="003C05AB" w:rsidRPr="00DE1F2C">
          <w:rPr>
            <w:rStyle w:val="Lienhypertexte"/>
            <w:noProof/>
          </w:rPr>
          <w:t>4.2 Notes décisionnelles</w:t>
        </w:r>
        <w:r w:rsidR="003C05AB">
          <w:rPr>
            <w:noProof/>
            <w:webHidden/>
          </w:rPr>
          <w:tab/>
        </w:r>
        <w:r w:rsidR="003C05AB">
          <w:rPr>
            <w:noProof/>
            <w:webHidden/>
          </w:rPr>
          <w:fldChar w:fldCharType="begin"/>
        </w:r>
        <w:r w:rsidR="003C05AB">
          <w:rPr>
            <w:noProof/>
            <w:webHidden/>
          </w:rPr>
          <w:instrText xml:space="preserve"> PAGEREF _Toc8333184 \h </w:instrText>
        </w:r>
        <w:r w:rsidR="003C05AB">
          <w:rPr>
            <w:noProof/>
            <w:webHidden/>
          </w:rPr>
        </w:r>
        <w:r w:rsidR="003C05AB">
          <w:rPr>
            <w:noProof/>
            <w:webHidden/>
          </w:rPr>
          <w:fldChar w:fldCharType="separate"/>
        </w:r>
        <w:r w:rsidR="0012530C">
          <w:rPr>
            <w:noProof/>
            <w:webHidden/>
          </w:rPr>
          <w:t>4</w:t>
        </w:r>
        <w:r w:rsidR="003C05AB">
          <w:rPr>
            <w:noProof/>
            <w:webHidden/>
          </w:rPr>
          <w:fldChar w:fldCharType="end"/>
        </w:r>
      </w:hyperlink>
    </w:p>
    <w:p w14:paraId="4EE9C5B9" w14:textId="30C960B0" w:rsidR="003C05AB" w:rsidRDefault="003B5E7A">
      <w:pPr>
        <w:pStyle w:val="TM2"/>
        <w:tabs>
          <w:tab w:val="right" w:leader="dot" w:pos="9062"/>
        </w:tabs>
        <w:rPr>
          <w:rFonts w:eastAsiaTheme="minorEastAsia" w:cstheme="minorBidi"/>
          <w:smallCaps w:val="0"/>
          <w:noProof/>
          <w:sz w:val="22"/>
          <w:szCs w:val="22"/>
          <w:lang w:eastAsia="fr-CH"/>
        </w:rPr>
      </w:pPr>
      <w:hyperlink w:anchor="_Toc8333185" w:history="1">
        <w:r w:rsidR="003C05AB" w:rsidRPr="00DE1F2C">
          <w:rPr>
            <w:rStyle w:val="Lienhypertexte"/>
            <w:noProof/>
          </w:rPr>
          <w:t>4.3 PV de l’AG</w:t>
        </w:r>
        <w:r w:rsidR="003C05AB">
          <w:rPr>
            <w:noProof/>
            <w:webHidden/>
          </w:rPr>
          <w:tab/>
        </w:r>
        <w:r w:rsidR="003C05AB">
          <w:rPr>
            <w:noProof/>
            <w:webHidden/>
          </w:rPr>
          <w:fldChar w:fldCharType="begin"/>
        </w:r>
        <w:r w:rsidR="003C05AB">
          <w:rPr>
            <w:noProof/>
            <w:webHidden/>
          </w:rPr>
          <w:instrText xml:space="preserve"> PAGEREF _Toc8333185 \h </w:instrText>
        </w:r>
        <w:r w:rsidR="003C05AB">
          <w:rPr>
            <w:noProof/>
            <w:webHidden/>
          </w:rPr>
        </w:r>
        <w:r w:rsidR="003C05AB">
          <w:rPr>
            <w:noProof/>
            <w:webHidden/>
          </w:rPr>
          <w:fldChar w:fldCharType="separate"/>
        </w:r>
        <w:r w:rsidR="0012530C">
          <w:rPr>
            <w:noProof/>
            <w:webHidden/>
          </w:rPr>
          <w:t>4</w:t>
        </w:r>
        <w:r w:rsidR="003C05AB">
          <w:rPr>
            <w:noProof/>
            <w:webHidden/>
          </w:rPr>
          <w:fldChar w:fldCharType="end"/>
        </w:r>
      </w:hyperlink>
    </w:p>
    <w:p w14:paraId="7953320E" w14:textId="62D7503E" w:rsidR="003C05AB" w:rsidRDefault="003B5E7A">
      <w:pPr>
        <w:pStyle w:val="TM2"/>
        <w:tabs>
          <w:tab w:val="right" w:leader="dot" w:pos="9062"/>
        </w:tabs>
        <w:rPr>
          <w:rFonts w:eastAsiaTheme="minorEastAsia" w:cstheme="minorBidi"/>
          <w:smallCaps w:val="0"/>
          <w:noProof/>
          <w:sz w:val="22"/>
          <w:szCs w:val="22"/>
          <w:lang w:eastAsia="fr-CH"/>
        </w:rPr>
      </w:pPr>
      <w:hyperlink w:anchor="_Toc8333186" w:history="1">
        <w:r w:rsidR="003C05AB" w:rsidRPr="00DE1F2C">
          <w:rPr>
            <w:rStyle w:val="Lienhypertexte"/>
            <w:noProof/>
          </w:rPr>
          <w:t>4.4 État des comptes</w:t>
        </w:r>
        <w:r w:rsidR="003C05AB">
          <w:rPr>
            <w:noProof/>
            <w:webHidden/>
          </w:rPr>
          <w:tab/>
        </w:r>
        <w:r w:rsidR="003C05AB">
          <w:rPr>
            <w:noProof/>
            <w:webHidden/>
          </w:rPr>
          <w:fldChar w:fldCharType="begin"/>
        </w:r>
        <w:r w:rsidR="003C05AB">
          <w:rPr>
            <w:noProof/>
            <w:webHidden/>
          </w:rPr>
          <w:instrText xml:space="preserve"> PAGEREF _Toc8333186 \h </w:instrText>
        </w:r>
        <w:r w:rsidR="003C05AB">
          <w:rPr>
            <w:noProof/>
            <w:webHidden/>
          </w:rPr>
        </w:r>
        <w:r w:rsidR="003C05AB">
          <w:rPr>
            <w:noProof/>
            <w:webHidden/>
          </w:rPr>
          <w:fldChar w:fldCharType="separate"/>
        </w:r>
        <w:r w:rsidR="0012530C">
          <w:rPr>
            <w:noProof/>
            <w:webHidden/>
          </w:rPr>
          <w:t>4</w:t>
        </w:r>
        <w:r w:rsidR="003C05AB">
          <w:rPr>
            <w:noProof/>
            <w:webHidden/>
          </w:rPr>
          <w:fldChar w:fldCharType="end"/>
        </w:r>
      </w:hyperlink>
    </w:p>
    <w:p w14:paraId="07B439DA" w14:textId="7E78CFFC" w:rsidR="003C05AB" w:rsidRDefault="003B5E7A">
      <w:pPr>
        <w:pStyle w:val="TM1"/>
        <w:tabs>
          <w:tab w:val="right" w:leader="dot" w:pos="906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fr-CH"/>
        </w:rPr>
      </w:pPr>
      <w:hyperlink w:anchor="_Toc8333187" w:history="1">
        <w:r w:rsidR="003C05AB" w:rsidRPr="00DE1F2C">
          <w:rPr>
            <w:rStyle w:val="Lienhypertexte"/>
            <w:noProof/>
          </w:rPr>
          <w:t>5. Charte</w:t>
        </w:r>
        <w:r w:rsidR="003C05AB">
          <w:rPr>
            <w:noProof/>
            <w:webHidden/>
          </w:rPr>
          <w:tab/>
        </w:r>
        <w:r w:rsidR="003C05AB">
          <w:rPr>
            <w:noProof/>
            <w:webHidden/>
          </w:rPr>
          <w:fldChar w:fldCharType="begin"/>
        </w:r>
        <w:r w:rsidR="003C05AB">
          <w:rPr>
            <w:noProof/>
            <w:webHidden/>
          </w:rPr>
          <w:instrText xml:space="preserve"> PAGEREF _Toc8333187 \h </w:instrText>
        </w:r>
        <w:r w:rsidR="003C05AB">
          <w:rPr>
            <w:noProof/>
            <w:webHidden/>
          </w:rPr>
        </w:r>
        <w:r w:rsidR="003C05AB">
          <w:rPr>
            <w:noProof/>
            <w:webHidden/>
          </w:rPr>
          <w:fldChar w:fldCharType="separate"/>
        </w:r>
        <w:r w:rsidR="0012530C">
          <w:rPr>
            <w:noProof/>
            <w:webHidden/>
          </w:rPr>
          <w:t>5</w:t>
        </w:r>
        <w:r w:rsidR="003C05AB">
          <w:rPr>
            <w:noProof/>
            <w:webHidden/>
          </w:rPr>
          <w:fldChar w:fldCharType="end"/>
        </w:r>
      </w:hyperlink>
    </w:p>
    <w:p w14:paraId="091BA6C1" w14:textId="7F12A4D5" w:rsidR="00E07530" w:rsidRPr="00623093" w:rsidRDefault="00E07530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 w:rsidRPr="00623093">
        <w:fldChar w:fldCharType="end"/>
      </w:r>
    </w:p>
    <w:p w14:paraId="11E302BC" w14:textId="36CB223F" w:rsidR="00FE0987" w:rsidRDefault="00FE0987" w:rsidP="00E07530">
      <w:pPr>
        <w:pStyle w:val="Titre1"/>
      </w:pPr>
    </w:p>
    <w:p w14:paraId="2B33BBE9" w14:textId="77777777" w:rsidR="005F6488" w:rsidRPr="005F6488" w:rsidRDefault="005F6488" w:rsidP="005F6488"/>
    <w:p w14:paraId="4CECB3FF" w14:textId="195EA4DC" w:rsidR="00D61E9F" w:rsidRDefault="00E07530" w:rsidP="00E07530">
      <w:pPr>
        <w:pStyle w:val="Titre1"/>
      </w:pPr>
      <w:bookmarkStart w:id="0" w:name="_Toc8333179"/>
      <w:r w:rsidRPr="00623093">
        <w:t>1. Schéma</w:t>
      </w:r>
      <w:bookmarkEnd w:id="0"/>
    </w:p>
    <w:p w14:paraId="5EE75DAB" w14:textId="77777777" w:rsidR="00E04DAC" w:rsidRPr="00E04DAC" w:rsidRDefault="00E04DAC" w:rsidP="00E04DAC"/>
    <w:p w14:paraId="2FC22557" w14:textId="0D8F5FFC" w:rsidR="00FE0987" w:rsidRPr="00623093" w:rsidRDefault="00E04DAC" w:rsidP="00FE0987">
      <w:r>
        <w:rPr>
          <w:noProof/>
        </w:rPr>
        <w:drawing>
          <wp:inline distT="0" distB="0" distL="0" distR="0" wp14:anchorId="5705AB20" wp14:editId="6E8D6FEF">
            <wp:extent cx="5966460" cy="3832293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7439" cy="3832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1F3D11" w14:textId="564976EE" w:rsidR="00D61E9F" w:rsidRDefault="00D61E9F"/>
    <w:p w14:paraId="5B646D8A" w14:textId="77777777" w:rsidR="005F6488" w:rsidRPr="00623093" w:rsidRDefault="005F6488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p w14:paraId="37769370" w14:textId="77777777" w:rsidR="00CC2C64" w:rsidRPr="00623093" w:rsidRDefault="00E07530" w:rsidP="00243D93">
      <w:pPr>
        <w:pStyle w:val="Titre1"/>
      </w:pPr>
      <w:bookmarkStart w:id="1" w:name="_Toc8333180"/>
      <w:r w:rsidRPr="00623093">
        <w:lastRenderedPageBreak/>
        <w:t>2. Règles générales</w:t>
      </w:r>
      <w:bookmarkEnd w:id="1"/>
    </w:p>
    <w:p w14:paraId="5B02F67E" w14:textId="27FEACF7" w:rsidR="003B6D71" w:rsidRPr="00623093" w:rsidRDefault="003B6D71" w:rsidP="00877A6B">
      <w:pPr>
        <w:spacing w:after="0"/>
      </w:pPr>
      <w:r w:rsidRPr="00623093">
        <w:t>Une même personne peut être responsable d’un groupe de travail</w:t>
      </w:r>
      <w:r w:rsidR="001D73F6" w:rsidRPr="00623093">
        <w:t xml:space="preserve"> à la fois au maximum</w:t>
      </w:r>
      <w:r w:rsidR="00AA0BA8" w:rsidRPr="00623093">
        <w:t>.</w:t>
      </w:r>
    </w:p>
    <w:p w14:paraId="1BB73291" w14:textId="4CED4BB0" w:rsidR="00CC2C64" w:rsidRPr="00623093" w:rsidRDefault="00CC2C64" w:rsidP="00877A6B">
      <w:pPr>
        <w:spacing w:after="0"/>
      </w:pPr>
      <w:r w:rsidRPr="00623093">
        <w:t xml:space="preserve">Les personnes </w:t>
      </w:r>
      <w:r w:rsidR="005A177A" w:rsidRPr="00623093">
        <w:t>responsables</w:t>
      </w:r>
      <w:r w:rsidRPr="00623093">
        <w:t xml:space="preserve"> des groupes de travail </w:t>
      </w:r>
      <w:r w:rsidR="002D7E0F" w:rsidRPr="00623093">
        <w:t>et</w:t>
      </w:r>
      <w:r w:rsidRPr="00623093">
        <w:t xml:space="preserve"> du </w:t>
      </w:r>
      <w:r w:rsidR="00E16697" w:rsidRPr="00623093">
        <w:t>Bureau</w:t>
      </w:r>
      <w:r w:rsidRPr="00623093">
        <w:t xml:space="preserve"> sont à tous moments destituables.</w:t>
      </w:r>
    </w:p>
    <w:p w14:paraId="653B4FBB" w14:textId="77777777" w:rsidR="00E07530" w:rsidRPr="00623093" w:rsidRDefault="00E07530" w:rsidP="00FE0987">
      <w:pPr>
        <w:pStyle w:val="Titre1"/>
        <w:spacing w:before="120"/>
      </w:pPr>
      <w:bookmarkStart w:id="2" w:name="_Toc8333181"/>
      <w:r w:rsidRPr="00623093">
        <w:t>3. Les Différents organe</w:t>
      </w:r>
      <w:r w:rsidR="00243D93" w:rsidRPr="00623093">
        <w:t>s</w:t>
      </w:r>
      <w:bookmarkEnd w:id="2"/>
    </w:p>
    <w:tbl>
      <w:tblPr>
        <w:tblStyle w:val="Grilledutableau"/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E07530" w:rsidRPr="00623093" w14:paraId="457688C0" w14:textId="77777777" w:rsidTr="00BC26DB">
        <w:trPr>
          <w:trHeight w:val="306"/>
        </w:trPr>
        <w:tc>
          <w:tcPr>
            <w:tcW w:w="9634" w:type="dxa"/>
          </w:tcPr>
          <w:p w14:paraId="2F6EB730" w14:textId="2483DA94" w:rsidR="00E07530" w:rsidRPr="00623093" w:rsidRDefault="00E07530" w:rsidP="00E07530">
            <w:pPr>
              <w:rPr>
                <w:b/>
              </w:rPr>
            </w:pPr>
            <w:r w:rsidRPr="00623093">
              <w:rPr>
                <w:b/>
              </w:rPr>
              <w:t>A</w:t>
            </w:r>
            <w:r w:rsidR="00AA0BA8" w:rsidRPr="00623093">
              <w:rPr>
                <w:b/>
              </w:rPr>
              <w:t xml:space="preserve">ssemblée </w:t>
            </w:r>
            <w:r w:rsidRPr="00623093">
              <w:rPr>
                <w:b/>
              </w:rPr>
              <w:t>G</w:t>
            </w:r>
            <w:r w:rsidR="00AA0BA8" w:rsidRPr="00623093">
              <w:rPr>
                <w:b/>
              </w:rPr>
              <w:t>énérale</w:t>
            </w:r>
            <w:r w:rsidR="00A04AFF" w:rsidRPr="00623093">
              <w:rPr>
                <w:b/>
              </w:rPr>
              <w:t xml:space="preserve"> (Prend les décisions majeures)</w:t>
            </w:r>
          </w:p>
        </w:tc>
      </w:tr>
      <w:tr w:rsidR="00D650E0" w:rsidRPr="00623093" w14:paraId="75400294" w14:textId="77777777" w:rsidTr="00BC26DB">
        <w:trPr>
          <w:trHeight w:val="306"/>
        </w:trPr>
        <w:tc>
          <w:tcPr>
            <w:tcW w:w="9634" w:type="dxa"/>
          </w:tcPr>
          <w:p w14:paraId="6F68FF32" w14:textId="70CF935B" w:rsidR="00D650E0" w:rsidRPr="00623093" w:rsidRDefault="00D650E0" w:rsidP="00E07530">
            <w:r w:rsidRPr="00623093">
              <w:t xml:space="preserve">X personnes venant du mouvement, </w:t>
            </w:r>
            <w:r w:rsidR="002D7E0F" w:rsidRPr="00623093">
              <w:t>ouverte à tous.</w:t>
            </w:r>
            <w:r w:rsidR="008F235F" w:rsidRPr="00623093">
              <w:t xml:space="preserve"> A lieu</w:t>
            </w:r>
            <w:r w:rsidR="00E04DAC">
              <w:t xml:space="preserve"> en principe</w:t>
            </w:r>
            <w:r w:rsidR="008F235F" w:rsidRPr="00623093">
              <w:t xml:space="preserve"> </w:t>
            </w:r>
            <w:r w:rsidR="00DA4AAD" w:rsidRPr="00623093">
              <w:t>tous les 14 du</w:t>
            </w:r>
            <w:r w:rsidR="008F235F" w:rsidRPr="00623093">
              <w:t xml:space="preserve"> </w:t>
            </w:r>
            <w:r w:rsidR="00B82F4D" w:rsidRPr="00623093">
              <w:t>mois</w:t>
            </w:r>
            <w:r w:rsidR="00DA4AAD" w:rsidRPr="00623093">
              <w:t xml:space="preserve">. Une personne prend le PV décisionnel, une autre préside la séance. Ces personnes sont volontaires ou sinon tirées au sort parmi </w:t>
            </w:r>
            <w:r w:rsidR="00650734" w:rsidRPr="00623093">
              <w:t>celles</w:t>
            </w:r>
            <w:r w:rsidR="00DA4AAD" w:rsidRPr="00623093">
              <w:t xml:space="preserve"> qui n’ont pas accompli </w:t>
            </w:r>
            <w:r w:rsidR="00DE46BE" w:rsidRPr="00623093">
              <w:t>ces</w:t>
            </w:r>
            <w:r w:rsidR="00DA4AAD" w:rsidRPr="00623093">
              <w:t xml:space="preserve"> tâche</w:t>
            </w:r>
            <w:r w:rsidR="00DE46BE" w:rsidRPr="00623093">
              <w:t>s</w:t>
            </w:r>
            <w:r w:rsidR="00DA4AAD" w:rsidRPr="00623093">
              <w:t xml:space="preserve"> la fois précédente.</w:t>
            </w:r>
            <w:r w:rsidR="00F836A4">
              <w:t xml:space="preserve"> C’est elle qui ultimement valide, ou non, les actions.</w:t>
            </w:r>
            <w:r w:rsidR="00E04DAC">
              <w:t xml:space="preserve"> Pour qu’une AG conserve son pouvoir de décision, celle-ci doit se composer d’au moins 7 membres ne faisant pas tous partie du même GT.</w:t>
            </w:r>
          </w:p>
          <w:p w14:paraId="2A130C03" w14:textId="77777777" w:rsidR="00AA0BA8" w:rsidRPr="00623093" w:rsidRDefault="00AA0BA8" w:rsidP="00E07530"/>
          <w:p w14:paraId="37C0A9D4" w14:textId="71D48F04" w:rsidR="00AA0BA8" w:rsidRPr="00623093" w:rsidRDefault="00AA0BA8" w:rsidP="00E07530">
            <w:r w:rsidRPr="00623093">
              <w:t xml:space="preserve">Les décisions prises en AG ne sont </w:t>
            </w:r>
            <w:r w:rsidR="00CC2C64" w:rsidRPr="00623093">
              <w:t>révocables</w:t>
            </w:r>
            <w:r w:rsidRPr="00623093">
              <w:t xml:space="preserve"> </w:t>
            </w:r>
            <w:r w:rsidR="00CC2C64" w:rsidRPr="00623093">
              <w:t>que lors d’une autre AG. Elles sont prises à la majorité</w:t>
            </w:r>
            <w:r w:rsidR="00851926" w:rsidRPr="00623093">
              <w:rPr>
                <w:rStyle w:val="Appelnotedebasdep"/>
              </w:rPr>
              <w:footnoteReference w:id="1"/>
            </w:r>
            <w:r w:rsidR="00CC2C64" w:rsidRPr="00623093">
              <w:t>.</w:t>
            </w:r>
          </w:p>
        </w:tc>
      </w:tr>
      <w:tr w:rsidR="00E07530" w:rsidRPr="00623093" w14:paraId="607C838B" w14:textId="77777777" w:rsidTr="00DE46BE">
        <w:trPr>
          <w:trHeight w:val="3305"/>
        </w:trPr>
        <w:tc>
          <w:tcPr>
            <w:tcW w:w="9634" w:type="dxa"/>
          </w:tcPr>
          <w:p w14:paraId="33AFDC6E" w14:textId="77777777" w:rsidR="00E07530" w:rsidRPr="00623093" w:rsidRDefault="00E07530" w:rsidP="00E07530">
            <w:r w:rsidRPr="00623093">
              <w:t>Déroulement standard :</w:t>
            </w:r>
          </w:p>
          <w:p w14:paraId="7CA83AC1" w14:textId="77777777" w:rsidR="00AA0BA8" w:rsidRPr="00623093" w:rsidRDefault="00AA0BA8" w:rsidP="00E07530"/>
          <w:p w14:paraId="5CE2F34D" w14:textId="77777777" w:rsidR="00E07530" w:rsidRPr="00623093" w:rsidRDefault="00D650E0" w:rsidP="00E07530">
            <w:pPr>
              <w:pStyle w:val="Paragraphedeliste"/>
              <w:numPr>
                <w:ilvl w:val="0"/>
                <w:numId w:val="1"/>
              </w:numPr>
            </w:pPr>
            <w:r w:rsidRPr="00623093">
              <w:t>Accueil et présences</w:t>
            </w:r>
          </w:p>
          <w:p w14:paraId="099CAE1D" w14:textId="77777777" w:rsidR="00D650E0" w:rsidRPr="00623093" w:rsidRDefault="00D650E0" w:rsidP="00E07530">
            <w:pPr>
              <w:pStyle w:val="Paragraphedeliste"/>
              <w:numPr>
                <w:ilvl w:val="0"/>
                <w:numId w:val="1"/>
              </w:numPr>
            </w:pPr>
            <w:r w:rsidRPr="00623093">
              <w:t>Annonce de l’ordre du jour</w:t>
            </w:r>
          </w:p>
          <w:p w14:paraId="5AD0398B" w14:textId="5FE97EBB" w:rsidR="00D650E0" w:rsidRPr="00623093" w:rsidRDefault="00D650E0" w:rsidP="00E07530">
            <w:pPr>
              <w:pStyle w:val="Paragraphedeliste"/>
              <w:numPr>
                <w:ilvl w:val="0"/>
                <w:numId w:val="1"/>
              </w:numPr>
            </w:pPr>
            <w:r w:rsidRPr="00623093">
              <w:t>Rapport des groupes de travail (si nécessaire</w:t>
            </w:r>
            <w:r w:rsidR="00DA4AAD" w:rsidRPr="00623093">
              <w:t xml:space="preserve"> ou exigé</w:t>
            </w:r>
            <w:r w:rsidR="00DA4AAD" w:rsidRPr="00623093">
              <w:rPr>
                <w:rStyle w:val="Appelnotedebasdep"/>
              </w:rPr>
              <w:footnoteReference w:id="2"/>
            </w:r>
            <w:r w:rsidRPr="00623093">
              <w:t>)</w:t>
            </w:r>
          </w:p>
          <w:p w14:paraId="013C6D61" w14:textId="3950C37F" w:rsidR="00AA0BA8" w:rsidRPr="00623093" w:rsidRDefault="00AA0BA8" w:rsidP="00E07530">
            <w:pPr>
              <w:pStyle w:val="Paragraphedeliste"/>
              <w:numPr>
                <w:ilvl w:val="0"/>
                <w:numId w:val="1"/>
              </w:numPr>
            </w:pPr>
            <w:r w:rsidRPr="00623093">
              <w:t>Rapport des délégations (si nécessaire</w:t>
            </w:r>
            <w:r w:rsidR="00DA4AAD" w:rsidRPr="00623093">
              <w:t xml:space="preserve"> ou exigé</w:t>
            </w:r>
            <w:r w:rsidR="00DA4AAD" w:rsidRPr="00623093">
              <w:rPr>
                <w:rStyle w:val="Appelnotedebasdep"/>
              </w:rPr>
              <w:footnoteReference w:id="3"/>
            </w:r>
            <w:r w:rsidRPr="00623093">
              <w:t>)</w:t>
            </w:r>
          </w:p>
          <w:p w14:paraId="063CDA97" w14:textId="77777777" w:rsidR="00AA0BA8" w:rsidRPr="00623093" w:rsidRDefault="00AA0BA8" w:rsidP="00E07530">
            <w:pPr>
              <w:pStyle w:val="Paragraphedeliste"/>
              <w:numPr>
                <w:ilvl w:val="0"/>
                <w:numId w:val="1"/>
              </w:numPr>
            </w:pPr>
            <w:r w:rsidRPr="00623093">
              <w:t>Débriefing (manif… si nécessaire)</w:t>
            </w:r>
          </w:p>
          <w:p w14:paraId="679A76BF" w14:textId="77777777" w:rsidR="00D650E0" w:rsidRPr="00623093" w:rsidRDefault="00AA0BA8" w:rsidP="00E07530">
            <w:pPr>
              <w:pStyle w:val="Paragraphedeliste"/>
              <w:numPr>
                <w:ilvl w:val="0"/>
                <w:numId w:val="1"/>
              </w:numPr>
            </w:pPr>
            <w:r w:rsidRPr="00623093">
              <w:t>Règlement des questions majeures (peut aboutir à des débats, à la création de nouveau groupes de travail</w:t>
            </w:r>
            <w:r w:rsidR="002D7E0F" w:rsidRPr="00623093">
              <w:t xml:space="preserve"> auquel cas on y nomme directement le / la responsable</w:t>
            </w:r>
            <w:r w:rsidRPr="00623093">
              <w:t xml:space="preserve">, </w:t>
            </w:r>
            <w:r w:rsidR="00B82F4D" w:rsidRPr="00623093">
              <w:t xml:space="preserve">de délégations, </w:t>
            </w:r>
            <w:r w:rsidRPr="00623093">
              <w:t>etc.)</w:t>
            </w:r>
          </w:p>
          <w:p w14:paraId="2BCA62F3" w14:textId="59525C26" w:rsidR="00AA0BA8" w:rsidRPr="00623093" w:rsidRDefault="00AA0BA8" w:rsidP="00E07530">
            <w:pPr>
              <w:pStyle w:val="Paragraphedeliste"/>
              <w:numPr>
                <w:ilvl w:val="0"/>
                <w:numId w:val="1"/>
              </w:numPr>
            </w:pPr>
            <w:r w:rsidRPr="00623093">
              <w:t xml:space="preserve">Changement d’un / des membres du </w:t>
            </w:r>
            <w:r w:rsidR="00E16697" w:rsidRPr="00623093">
              <w:t>Bureau</w:t>
            </w:r>
            <w:r w:rsidRPr="00623093">
              <w:t> ?</w:t>
            </w:r>
          </w:p>
          <w:p w14:paraId="0E42CB8A" w14:textId="77777777" w:rsidR="00243D93" w:rsidRPr="00623093" w:rsidRDefault="00243D93" w:rsidP="00E07530">
            <w:pPr>
              <w:pStyle w:val="Paragraphedeliste"/>
              <w:numPr>
                <w:ilvl w:val="0"/>
                <w:numId w:val="1"/>
              </w:numPr>
            </w:pPr>
            <w:r w:rsidRPr="00623093">
              <w:t>Propositions</w:t>
            </w:r>
            <w:r w:rsidRPr="00623093">
              <w:rPr>
                <w:rStyle w:val="Appelnotedebasdep"/>
              </w:rPr>
              <w:footnoteReference w:id="4"/>
            </w:r>
          </w:p>
          <w:p w14:paraId="338716A5" w14:textId="77777777" w:rsidR="00AA0BA8" w:rsidRPr="00623093" w:rsidRDefault="00AA0BA8" w:rsidP="00E07530">
            <w:pPr>
              <w:pStyle w:val="Paragraphedeliste"/>
              <w:numPr>
                <w:ilvl w:val="0"/>
                <w:numId w:val="1"/>
              </w:numPr>
            </w:pPr>
            <w:r w:rsidRPr="00623093">
              <w:t>Divers</w:t>
            </w:r>
          </w:p>
        </w:tc>
      </w:tr>
      <w:tr w:rsidR="00AA0BA8" w:rsidRPr="00623093" w14:paraId="08F8A59F" w14:textId="77777777" w:rsidTr="00BC26DB">
        <w:trPr>
          <w:trHeight w:val="294"/>
        </w:trPr>
        <w:tc>
          <w:tcPr>
            <w:tcW w:w="9634" w:type="dxa"/>
            <w:tcBorders>
              <w:bottom w:val="nil"/>
            </w:tcBorders>
          </w:tcPr>
          <w:p w14:paraId="23CF4FE7" w14:textId="77777777" w:rsidR="00AA0BA8" w:rsidRPr="00623093" w:rsidRDefault="00AA0BA8" w:rsidP="00E07530">
            <w:r w:rsidRPr="00623093">
              <w:t>Communication non-verbale :</w:t>
            </w:r>
          </w:p>
          <w:p w14:paraId="633913AD" w14:textId="77777777" w:rsidR="00AA0BA8" w:rsidRPr="00623093" w:rsidRDefault="00AA0BA8" w:rsidP="00E07530"/>
          <w:p w14:paraId="1FB4CDFC" w14:textId="77777777" w:rsidR="00AA0BA8" w:rsidRPr="00623093" w:rsidRDefault="00AA0BA8" w:rsidP="00AA0BA8">
            <w:pPr>
              <w:pStyle w:val="Paragraphedeliste"/>
              <w:numPr>
                <w:ilvl w:val="0"/>
                <w:numId w:val="1"/>
              </w:numPr>
            </w:pPr>
            <w:r w:rsidRPr="00623093">
              <w:t>Demander la parole (lever la main)</w:t>
            </w:r>
          </w:p>
          <w:p w14:paraId="764EF2DE" w14:textId="77777777" w:rsidR="00AA0BA8" w:rsidRPr="00623093" w:rsidRDefault="00AA0BA8" w:rsidP="00AA0BA8">
            <w:pPr>
              <w:pStyle w:val="Paragraphedeliste"/>
              <w:numPr>
                <w:ilvl w:val="0"/>
                <w:numId w:val="1"/>
              </w:numPr>
            </w:pPr>
            <w:r w:rsidRPr="00623093">
              <w:t>Réponse directe (« aller-retour »)</w:t>
            </w:r>
          </w:p>
          <w:p w14:paraId="7A5E6163" w14:textId="621F19DD" w:rsidR="00AA0BA8" w:rsidRPr="00623093" w:rsidRDefault="00AA0BA8" w:rsidP="00AA0BA8">
            <w:pPr>
              <w:pStyle w:val="Paragraphedeliste"/>
              <w:numPr>
                <w:ilvl w:val="0"/>
                <w:numId w:val="1"/>
              </w:numPr>
            </w:pPr>
            <w:r w:rsidRPr="00623093">
              <w:t>Point technique (T)</w:t>
            </w:r>
          </w:p>
          <w:p w14:paraId="5E30294C" w14:textId="47F1DC29" w:rsidR="00851926" w:rsidRPr="00623093" w:rsidRDefault="00851926" w:rsidP="00AA0BA8">
            <w:pPr>
              <w:pStyle w:val="Paragraphedeliste"/>
              <w:numPr>
                <w:ilvl w:val="0"/>
                <w:numId w:val="1"/>
              </w:numPr>
            </w:pPr>
            <w:r w:rsidRPr="00623093">
              <w:t>Point langue (L)</w:t>
            </w:r>
          </w:p>
          <w:p w14:paraId="793B4F3A" w14:textId="77777777" w:rsidR="00B72BDA" w:rsidRPr="00623093" w:rsidRDefault="00B72BDA" w:rsidP="00B72BDA"/>
          <w:p w14:paraId="6B82836C" w14:textId="0A1A851C" w:rsidR="00B72BDA" w:rsidRPr="00623093" w:rsidRDefault="00851926" w:rsidP="00B72BDA">
            <w:r w:rsidRPr="00623093">
              <w:t>Mais pas pendant les prises de paroles !</w:t>
            </w:r>
          </w:p>
        </w:tc>
      </w:tr>
      <w:tr w:rsidR="00CE0423" w:rsidRPr="00623093" w14:paraId="158290D7" w14:textId="77777777" w:rsidTr="00BC26DB">
        <w:trPr>
          <w:trHeight w:val="1081"/>
        </w:trPr>
        <w:tc>
          <w:tcPr>
            <w:tcW w:w="9634" w:type="dxa"/>
            <w:tcBorders>
              <w:top w:val="nil"/>
              <w:left w:val="nil"/>
              <w:bottom w:val="nil"/>
              <w:right w:val="nil"/>
            </w:tcBorders>
          </w:tcPr>
          <w:p w14:paraId="60C16B6A" w14:textId="77777777" w:rsidR="00CE0423" w:rsidRPr="00623093" w:rsidRDefault="00CE0423" w:rsidP="00CE0423">
            <w:pPr>
              <w:pBdr>
                <w:top w:val="single" w:sz="4" w:space="1" w:color="auto"/>
              </w:pBdr>
            </w:pPr>
          </w:p>
          <w:tbl>
            <w:tblPr>
              <w:tblStyle w:val="Grilledutableau"/>
              <w:tblpPr w:leftFromText="141" w:rightFromText="141" w:vertAnchor="page" w:horzAnchor="margin" w:tblpX="-147" w:tblpY="466"/>
              <w:tblW w:w="9634" w:type="dxa"/>
              <w:tblLayout w:type="fixed"/>
              <w:tblLook w:val="04A0" w:firstRow="1" w:lastRow="0" w:firstColumn="1" w:lastColumn="0" w:noHBand="0" w:noVBand="1"/>
            </w:tblPr>
            <w:tblGrid>
              <w:gridCol w:w="9634"/>
            </w:tblGrid>
            <w:tr w:rsidR="0090762A" w:rsidRPr="00623093" w14:paraId="033D7BFA" w14:textId="77777777" w:rsidTr="00BC26DB">
              <w:tc>
                <w:tcPr>
                  <w:tcW w:w="9634" w:type="dxa"/>
                </w:tcPr>
                <w:p w14:paraId="7AA76793" w14:textId="77777777" w:rsidR="0090762A" w:rsidRPr="00623093" w:rsidRDefault="0090762A" w:rsidP="0090762A">
                  <w:pPr>
                    <w:rPr>
                      <w:b/>
                    </w:rPr>
                  </w:pPr>
                  <w:r w:rsidRPr="00623093">
                    <w:rPr>
                      <w:b/>
                    </w:rPr>
                    <w:t>Coordinateurs (transmission d’informations)</w:t>
                  </w:r>
                </w:p>
              </w:tc>
            </w:tr>
            <w:tr w:rsidR="0090762A" w:rsidRPr="00623093" w14:paraId="1FB6ABE9" w14:textId="77777777" w:rsidTr="00BC26DB">
              <w:tc>
                <w:tcPr>
                  <w:tcW w:w="9634" w:type="dxa"/>
                </w:tcPr>
                <w:p w14:paraId="68C9C5D0" w14:textId="77777777" w:rsidR="0090762A" w:rsidRPr="00623093" w:rsidRDefault="0090762A" w:rsidP="0090762A">
                  <w:r w:rsidRPr="00623093">
                    <w:t>X personnes par établissements</w:t>
                  </w:r>
                </w:p>
              </w:tc>
            </w:tr>
            <w:tr w:rsidR="0090762A" w:rsidRPr="00623093" w14:paraId="56228A3D" w14:textId="77777777" w:rsidTr="00BC26DB">
              <w:tc>
                <w:tcPr>
                  <w:tcW w:w="9634" w:type="dxa"/>
                  <w:shd w:val="clear" w:color="auto" w:fill="auto"/>
                </w:tcPr>
                <w:p w14:paraId="3DEDD0FA" w14:textId="77777777" w:rsidR="0090762A" w:rsidRPr="00623093" w:rsidRDefault="0090762A" w:rsidP="0090762A">
                  <w:pPr>
                    <w:pStyle w:val="Paragraphedeliste"/>
                    <w:numPr>
                      <w:ilvl w:val="0"/>
                      <w:numId w:val="1"/>
                    </w:numPr>
                  </w:pPr>
                  <w:r w:rsidRPr="00623093">
                    <w:t>Transmet les informations des groupes de travail aux établissements</w:t>
                  </w:r>
                </w:p>
                <w:p w14:paraId="6776DDA9" w14:textId="77777777" w:rsidR="0090762A" w:rsidRPr="00623093" w:rsidRDefault="0090762A" w:rsidP="0090762A">
                  <w:pPr>
                    <w:pStyle w:val="Paragraphedeliste"/>
                    <w:numPr>
                      <w:ilvl w:val="0"/>
                      <w:numId w:val="1"/>
                    </w:numPr>
                  </w:pPr>
                  <w:r w:rsidRPr="00623093">
                    <w:t>Ont le droit de réécrire / reformuler les messages si ceux-ci sont jugés trop longs ou peu clairs. Ils demandent une confirmation au groupe de travail avant d’envoyer le message modifié.</w:t>
                  </w:r>
                </w:p>
              </w:tc>
            </w:tr>
          </w:tbl>
          <w:p w14:paraId="7BECC5CE" w14:textId="061E2AF1" w:rsidR="0090762A" w:rsidRPr="00623093" w:rsidRDefault="0090762A" w:rsidP="00E07530"/>
          <w:p w14:paraId="4E621ECA" w14:textId="77777777" w:rsidR="0090762A" w:rsidRPr="00623093" w:rsidRDefault="0090762A" w:rsidP="00E07530"/>
          <w:p w14:paraId="420A0585" w14:textId="3BECE634" w:rsidR="00DE46BE" w:rsidRPr="00623093" w:rsidRDefault="00DE46BE" w:rsidP="00E07530"/>
        </w:tc>
      </w:tr>
    </w:tbl>
    <w:tbl>
      <w:tblPr>
        <w:tblStyle w:val="Grilledutableau"/>
        <w:tblpPr w:leftFromText="141" w:rightFromText="141" w:vertAnchor="text" w:horzAnchor="margin" w:tblpY="362"/>
        <w:tblOverlap w:val="never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E73FE8" w:rsidRPr="00623093" w14:paraId="1CC2BE93" w14:textId="77777777" w:rsidTr="00CE0423">
        <w:trPr>
          <w:trHeight w:val="110"/>
        </w:trPr>
        <w:tc>
          <w:tcPr>
            <w:tcW w:w="9067" w:type="dxa"/>
          </w:tcPr>
          <w:p w14:paraId="45F68114" w14:textId="5969EF61" w:rsidR="00E73FE8" w:rsidRPr="00623093" w:rsidRDefault="00E16697" w:rsidP="00E73FE8">
            <w:pPr>
              <w:rPr>
                <w:b/>
              </w:rPr>
            </w:pPr>
            <w:r w:rsidRPr="00623093">
              <w:rPr>
                <w:b/>
              </w:rPr>
              <w:lastRenderedPageBreak/>
              <w:t>Bureau</w:t>
            </w:r>
            <w:r w:rsidR="00A04AFF" w:rsidRPr="00623093">
              <w:rPr>
                <w:b/>
              </w:rPr>
              <w:t xml:space="preserve"> (Prend les décisions mineures + Coordonne + Gère l’information)</w:t>
            </w:r>
          </w:p>
        </w:tc>
      </w:tr>
      <w:tr w:rsidR="00E73FE8" w:rsidRPr="00623093" w14:paraId="6E64BC35" w14:textId="77777777" w:rsidTr="00CE0423">
        <w:trPr>
          <w:trHeight w:val="110"/>
        </w:trPr>
        <w:tc>
          <w:tcPr>
            <w:tcW w:w="9067" w:type="dxa"/>
          </w:tcPr>
          <w:p w14:paraId="7615CCDD" w14:textId="42EA79C1" w:rsidR="00E73FE8" w:rsidRPr="00623093" w:rsidRDefault="00192339" w:rsidP="00E73FE8">
            <w:r>
              <w:t>5</w:t>
            </w:r>
            <w:r w:rsidR="00E73FE8" w:rsidRPr="00623093">
              <w:t xml:space="preserve"> personnes fixes </w:t>
            </w:r>
            <w:r>
              <w:t>élues en AG</w:t>
            </w:r>
            <w:bookmarkStart w:id="3" w:name="_GoBack"/>
            <w:bookmarkEnd w:id="3"/>
            <w:r w:rsidR="00E73FE8" w:rsidRPr="00623093">
              <w:t xml:space="preserve"> parmi une liste de volontaires</w:t>
            </w:r>
            <w:r w:rsidR="00AE7DF1" w:rsidRPr="00623093">
              <w:t>, dont au moins</w:t>
            </w:r>
            <w:r w:rsidR="000C03DD" w:rsidRPr="00623093">
              <w:t xml:space="preserve"> </w:t>
            </w:r>
            <w:r w:rsidR="00DA4AAD" w:rsidRPr="00623093">
              <w:t>2</w:t>
            </w:r>
            <w:r w:rsidR="000C03DD" w:rsidRPr="00623093">
              <w:t xml:space="preserve"> germanophones. La parité y est, si possible, respectée.</w:t>
            </w:r>
          </w:p>
          <w:p w14:paraId="3D6134B8" w14:textId="77777777" w:rsidR="00E73FE8" w:rsidRPr="00623093" w:rsidRDefault="00E73FE8" w:rsidP="00E73FE8">
            <w:r w:rsidRPr="00623093">
              <w:t>Elles peuvent être changées à chaque AG.</w:t>
            </w:r>
          </w:p>
          <w:p w14:paraId="55304930" w14:textId="77777777" w:rsidR="00E73FE8" w:rsidRPr="00623093" w:rsidRDefault="00E73FE8" w:rsidP="00E73FE8"/>
          <w:p w14:paraId="3874A82E" w14:textId="0790D2B7" w:rsidR="00E73FE8" w:rsidRPr="00623093" w:rsidRDefault="00A04AFF" w:rsidP="00E73FE8">
            <w:r w:rsidRPr="00623093">
              <w:t xml:space="preserve">Règle les questions urgentes et/ou mineures venant des groupes de travail, </w:t>
            </w:r>
            <w:r w:rsidR="00E73FE8" w:rsidRPr="00623093">
              <w:t xml:space="preserve">Les décisions </w:t>
            </w:r>
            <w:r w:rsidRPr="00623093">
              <w:t xml:space="preserve">y </w:t>
            </w:r>
            <w:r w:rsidR="00E73FE8" w:rsidRPr="00623093">
              <w:t xml:space="preserve">sont prises à la majorité. </w:t>
            </w:r>
            <w:r w:rsidRPr="00623093">
              <w:t xml:space="preserve"> Si le désaccord est trop important</w:t>
            </w:r>
            <w:r w:rsidR="000C03DD" w:rsidRPr="00623093">
              <w:t xml:space="preserve"> ou la question trop importante, </w:t>
            </w:r>
            <w:r w:rsidRPr="00623093">
              <w:t>la question doit passer en AG.</w:t>
            </w:r>
          </w:p>
        </w:tc>
      </w:tr>
      <w:tr w:rsidR="00E73FE8" w:rsidRPr="00623093" w14:paraId="5AE3BB26" w14:textId="77777777" w:rsidTr="00BC26DB">
        <w:trPr>
          <w:trHeight w:val="105"/>
        </w:trPr>
        <w:tc>
          <w:tcPr>
            <w:tcW w:w="9067" w:type="dxa"/>
            <w:tcBorders>
              <w:bottom w:val="single" w:sz="4" w:space="0" w:color="auto"/>
            </w:tcBorders>
          </w:tcPr>
          <w:p w14:paraId="299532BE" w14:textId="77777777" w:rsidR="00A04AFF" w:rsidRPr="00623093" w:rsidRDefault="00A04AFF" w:rsidP="00E73FE8">
            <w:pPr>
              <w:pStyle w:val="Paragraphedeliste"/>
              <w:numPr>
                <w:ilvl w:val="0"/>
                <w:numId w:val="1"/>
              </w:numPr>
            </w:pPr>
            <w:r w:rsidRPr="00623093">
              <w:t>Coordonne les groupes de travail</w:t>
            </w:r>
          </w:p>
          <w:p w14:paraId="5BC875AB" w14:textId="77777777" w:rsidR="00E73FE8" w:rsidRPr="00623093" w:rsidRDefault="00E73FE8" w:rsidP="00E73FE8">
            <w:pPr>
              <w:pStyle w:val="Paragraphedeliste"/>
              <w:numPr>
                <w:ilvl w:val="0"/>
                <w:numId w:val="1"/>
              </w:numPr>
            </w:pPr>
            <w:r w:rsidRPr="00623093">
              <w:t xml:space="preserve">Planifie les </w:t>
            </w:r>
            <w:proofErr w:type="spellStart"/>
            <w:r w:rsidRPr="00623093">
              <w:t>AGs</w:t>
            </w:r>
            <w:proofErr w:type="spellEnd"/>
          </w:p>
          <w:p w14:paraId="34570860" w14:textId="1A6E43BF" w:rsidR="00E73FE8" w:rsidRPr="00623093" w:rsidRDefault="00E73FE8" w:rsidP="00E73FE8">
            <w:pPr>
              <w:pStyle w:val="Paragraphedeliste"/>
              <w:numPr>
                <w:ilvl w:val="0"/>
                <w:numId w:val="1"/>
              </w:numPr>
            </w:pPr>
            <w:r w:rsidRPr="00623093">
              <w:t>Décide de l’ordre du jour (problèmes majeurs)</w:t>
            </w:r>
            <w:r w:rsidR="00DA4AAD" w:rsidRPr="00623093">
              <w:t xml:space="preserve"> et le rend disponible</w:t>
            </w:r>
            <w:r w:rsidR="00C30796" w:rsidRPr="00623093">
              <w:t xml:space="preserve"> et compréhensible</w:t>
            </w:r>
            <w:r w:rsidR="00DA4AAD" w:rsidRPr="00623093">
              <w:t xml:space="preserve"> à tous à l’avance</w:t>
            </w:r>
            <w:r w:rsidR="00DA4AAD" w:rsidRPr="00623093">
              <w:rPr>
                <w:rStyle w:val="Appelnotedebasdep"/>
              </w:rPr>
              <w:footnoteReference w:id="5"/>
            </w:r>
          </w:p>
          <w:p w14:paraId="09E909E5" w14:textId="77777777" w:rsidR="00E73FE8" w:rsidRPr="00623093" w:rsidRDefault="00E73FE8" w:rsidP="00E73FE8">
            <w:pPr>
              <w:pStyle w:val="Paragraphedeliste"/>
              <w:numPr>
                <w:ilvl w:val="0"/>
                <w:numId w:val="1"/>
              </w:numPr>
            </w:pPr>
            <w:r w:rsidRPr="00623093">
              <w:t>Forme les délégations</w:t>
            </w:r>
          </w:p>
          <w:p w14:paraId="4C2D4073" w14:textId="77777777" w:rsidR="00E73FE8" w:rsidRPr="00623093" w:rsidRDefault="00E73FE8" w:rsidP="00E73FE8">
            <w:pPr>
              <w:pStyle w:val="Paragraphedeliste"/>
              <w:numPr>
                <w:ilvl w:val="0"/>
                <w:numId w:val="1"/>
              </w:numPr>
            </w:pPr>
            <w:r w:rsidRPr="00623093">
              <w:t>Tranche en cas de problèmes mineurs ou urgents</w:t>
            </w:r>
          </w:p>
          <w:p w14:paraId="7F0E66B2" w14:textId="77777777" w:rsidR="00E73FE8" w:rsidRPr="00623093" w:rsidRDefault="00E73FE8" w:rsidP="00E73FE8">
            <w:pPr>
              <w:pStyle w:val="Paragraphedeliste"/>
              <w:numPr>
                <w:ilvl w:val="0"/>
                <w:numId w:val="1"/>
              </w:numPr>
            </w:pPr>
            <w:r w:rsidRPr="00623093">
              <w:t>Tient un registre</w:t>
            </w:r>
            <w:r w:rsidRPr="00623093">
              <w:rPr>
                <w:rStyle w:val="Appelnotedebasdep"/>
              </w:rPr>
              <w:footnoteReference w:id="6"/>
            </w:r>
          </w:p>
          <w:p w14:paraId="705D8E65" w14:textId="77777777" w:rsidR="00E73FE8" w:rsidRPr="00623093" w:rsidRDefault="00E73FE8" w:rsidP="00E73FE8">
            <w:pPr>
              <w:pStyle w:val="Paragraphedeliste"/>
              <w:numPr>
                <w:ilvl w:val="0"/>
                <w:numId w:val="1"/>
              </w:numPr>
            </w:pPr>
            <w:r w:rsidRPr="00623093">
              <w:t>Tient un carnet de notes décisionnelles</w:t>
            </w:r>
            <w:r w:rsidRPr="00623093">
              <w:rPr>
                <w:rStyle w:val="Appelnotedebasdep"/>
              </w:rPr>
              <w:footnoteReference w:id="7"/>
            </w:r>
          </w:p>
          <w:p w14:paraId="631D6E31" w14:textId="77777777" w:rsidR="00877A6B" w:rsidRDefault="00877A6B" w:rsidP="00E73FE8">
            <w:pPr>
              <w:pStyle w:val="Paragraphedeliste"/>
              <w:numPr>
                <w:ilvl w:val="0"/>
                <w:numId w:val="1"/>
              </w:numPr>
            </w:pPr>
            <w:r w:rsidRPr="00623093">
              <w:t>Est chargé de rendre les documents officiels consultables</w:t>
            </w:r>
          </w:p>
          <w:p w14:paraId="6686C295" w14:textId="6165F9C5" w:rsidR="000D7AF3" w:rsidRPr="00623093" w:rsidRDefault="000D7AF3" w:rsidP="00E73FE8">
            <w:pPr>
              <w:pStyle w:val="Paragraphedeliste"/>
              <w:numPr>
                <w:ilvl w:val="0"/>
                <w:numId w:val="1"/>
              </w:numPr>
            </w:pPr>
            <w:r>
              <w:t>Se charge de la validation rapide des communiqués de presse</w:t>
            </w:r>
          </w:p>
        </w:tc>
      </w:tr>
      <w:tr w:rsidR="00BC26DB" w:rsidRPr="00623093" w14:paraId="30288040" w14:textId="77777777" w:rsidTr="00BC26DB">
        <w:trPr>
          <w:trHeight w:val="105"/>
        </w:trPr>
        <w:tc>
          <w:tcPr>
            <w:tcW w:w="9067" w:type="dxa"/>
            <w:tcBorders>
              <w:top w:val="single" w:sz="4" w:space="0" w:color="auto"/>
              <w:left w:val="nil"/>
              <w:right w:val="nil"/>
            </w:tcBorders>
          </w:tcPr>
          <w:p w14:paraId="73D939A8" w14:textId="77777777" w:rsidR="00BC26DB" w:rsidRDefault="00BC26DB" w:rsidP="00BC26DB"/>
          <w:p w14:paraId="7F479DE7" w14:textId="77777777" w:rsidR="005F6488" w:rsidRDefault="005F6488" w:rsidP="00BC26DB"/>
          <w:p w14:paraId="465E712C" w14:textId="6F85E8F9" w:rsidR="005F6488" w:rsidRPr="00623093" w:rsidRDefault="005F6488" w:rsidP="00BC26DB"/>
        </w:tc>
      </w:tr>
    </w:tbl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E0987" w:rsidRPr="00623093" w14:paraId="489F7680" w14:textId="77777777" w:rsidTr="00FE0987">
        <w:tc>
          <w:tcPr>
            <w:tcW w:w="9062" w:type="dxa"/>
          </w:tcPr>
          <w:p w14:paraId="5591776D" w14:textId="77777777" w:rsidR="00FE0987" w:rsidRPr="00623093" w:rsidRDefault="00FE0987" w:rsidP="00FE0987">
            <w:pPr>
              <w:tabs>
                <w:tab w:val="left" w:pos="6098"/>
              </w:tabs>
              <w:spacing w:after="160" w:line="259" w:lineRule="auto"/>
              <w:rPr>
                <w:b/>
              </w:rPr>
            </w:pPr>
            <w:r w:rsidRPr="00623093">
              <w:rPr>
                <w:b/>
              </w:rPr>
              <w:t>Groupe de Travail (Répond à un besoin précis du mouvement)</w:t>
            </w:r>
            <w:r w:rsidRPr="00623093">
              <w:rPr>
                <w:b/>
              </w:rPr>
              <w:tab/>
            </w:r>
          </w:p>
        </w:tc>
      </w:tr>
      <w:tr w:rsidR="00FE0987" w:rsidRPr="00623093" w14:paraId="59C0406F" w14:textId="77777777" w:rsidTr="00FE0987">
        <w:tc>
          <w:tcPr>
            <w:tcW w:w="9062" w:type="dxa"/>
          </w:tcPr>
          <w:p w14:paraId="2891E78A" w14:textId="6B472D71" w:rsidR="00FE0987" w:rsidRPr="00623093" w:rsidRDefault="00FE0987" w:rsidP="00FE0987">
            <w:pPr>
              <w:spacing w:after="160" w:line="259" w:lineRule="auto"/>
            </w:pPr>
            <w:r w:rsidRPr="00623093">
              <w:t>X personnes selon les besoins, 1 responsable nommé à l’AG qui répond du travail fourni.</w:t>
            </w:r>
            <w:r w:rsidR="005A177A" w:rsidRPr="00623093">
              <w:t xml:space="preserve"> Le</w:t>
            </w:r>
            <w:r w:rsidR="00DC4068" w:rsidRPr="00623093">
              <w:t>/La</w:t>
            </w:r>
            <w:r w:rsidR="005A177A" w:rsidRPr="00623093">
              <w:t xml:space="preserve"> responsable gère l’effectif.</w:t>
            </w:r>
            <w:r w:rsidR="00DA4AAD" w:rsidRPr="00623093">
              <w:t xml:space="preserve"> C’est une personne de contact</w:t>
            </w:r>
            <w:r w:rsidR="005F517F" w:rsidRPr="00623093">
              <w:t xml:space="preserve"> qui ne possède pas d’autre pouvoir particulier.</w:t>
            </w:r>
          </w:p>
          <w:p w14:paraId="5BE885DA" w14:textId="77777777" w:rsidR="00FE0987" w:rsidRPr="00623093" w:rsidRDefault="00FE0987" w:rsidP="00FE0987">
            <w:r w:rsidRPr="00623093">
              <w:t xml:space="preserve">Les décisions y sont prises à l’unanimité. Si le désaccord est trop grand ou la question trop importante, le groupe de travail doit envoyer sa demande au </w:t>
            </w:r>
            <w:r w:rsidR="00E16697" w:rsidRPr="00623093">
              <w:t>Bureau</w:t>
            </w:r>
            <w:r w:rsidRPr="00623093">
              <w:t>.</w:t>
            </w:r>
          </w:p>
          <w:p w14:paraId="4EC89E65" w14:textId="77777777" w:rsidR="00FB0492" w:rsidRPr="00623093" w:rsidRDefault="00FB0492" w:rsidP="00FE0987"/>
          <w:p w14:paraId="66806022" w14:textId="77777777" w:rsidR="00FB0492" w:rsidRDefault="00FB0492" w:rsidP="00FE0987">
            <w:r w:rsidRPr="00623093">
              <w:t>Un groupe de travail peut se subdiviser en plusieurs groupes de travail s’il le juge nécessaire.</w:t>
            </w:r>
          </w:p>
          <w:p w14:paraId="006C6736" w14:textId="5761DFE6" w:rsidR="00E04DAC" w:rsidRPr="00623093" w:rsidRDefault="00E04DAC" w:rsidP="00FE0987">
            <w:r>
              <w:t>Il existe 5 groupes de travail fixes, Communication, Finances, Activisme, Relations Institutions et People</w:t>
            </w:r>
            <w:r>
              <w:rPr>
                <w:rStyle w:val="Appelnotedebasdep"/>
              </w:rPr>
              <w:footnoteReference w:id="8"/>
            </w:r>
            <w:r>
              <w:t>.</w:t>
            </w:r>
          </w:p>
        </w:tc>
      </w:tr>
      <w:tr w:rsidR="00FE0987" w:rsidRPr="00623093" w14:paraId="78168934" w14:textId="77777777" w:rsidTr="00FE0987">
        <w:tc>
          <w:tcPr>
            <w:tcW w:w="9062" w:type="dxa"/>
          </w:tcPr>
          <w:p w14:paraId="3F74B68C" w14:textId="77777777" w:rsidR="00FE0987" w:rsidRPr="00623093" w:rsidRDefault="00FE0987" w:rsidP="00FE0987">
            <w:pPr>
              <w:numPr>
                <w:ilvl w:val="0"/>
                <w:numId w:val="1"/>
              </w:numPr>
              <w:spacing w:after="160" w:line="259" w:lineRule="auto"/>
              <w:contextualSpacing/>
            </w:pPr>
            <w:r w:rsidRPr="00623093">
              <w:t>Travaille en vue de remplir les objectifs fixés lors de sa création</w:t>
            </w:r>
          </w:p>
          <w:p w14:paraId="5F6D6106" w14:textId="2382644B" w:rsidR="005F517F" w:rsidRPr="00623093" w:rsidRDefault="005F517F" w:rsidP="005F517F">
            <w:pPr>
              <w:numPr>
                <w:ilvl w:val="0"/>
                <w:numId w:val="1"/>
              </w:numPr>
              <w:spacing w:after="160" w:line="259" w:lineRule="auto"/>
              <w:contextualSpacing/>
            </w:pPr>
            <w:r w:rsidRPr="00623093">
              <w:t xml:space="preserve">Envoie un rapport au Bureau si </w:t>
            </w:r>
            <w:r w:rsidR="00DE46BE" w:rsidRPr="00623093">
              <w:t>une de ces conditions est remplie :</w:t>
            </w:r>
          </w:p>
          <w:p w14:paraId="755C4F3E" w14:textId="724AAFA5" w:rsidR="005F517F" w:rsidRPr="00623093" w:rsidRDefault="005F517F" w:rsidP="005F517F">
            <w:pPr>
              <w:numPr>
                <w:ilvl w:val="1"/>
                <w:numId w:val="1"/>
              </w:numPr>
              <w:spacing w:after="160" w:line="259" w:lineRule="auto"/>
              <w:contextualSpacing/>
            </w:pPr>
            <w:r w:rsidRPr="00623093">
              <w:t>C’est jugé nécessaire par les membres du GT</w:t>
            </w:r>
          </w:p>
          <w:p w14:paraId="34ACC9BB" w14:textId="067741FA" w:rsidR="005F517F" w:rsidRPr="00623093" w:rsidRDefault="005F517F" w:rsidP="005F517F">
            <w:pPr>
              <w:numPr>
                <w:ilvl w:val="1"/>
                <w:numId w:val="1"/>
              </w:numPr>
              <w:spacing w:after="160" w:line="259" w:lineRule="auto"/>
              <w:contextualSpacing/>
            </w:pPr>
            <w:r w:rsidRPr="00623093">
              <w:t>Une tâche importante est finie</w:t>
            </w:r>
          </w:p>
          <w:p w14:paraId="44E0271B" w14:textId="0A125DEF" w:rsidR="005F517F" w:rsidRPr="00623093" w:rsidRDefault="005F517F" w:rsidP="005F517F">
            <w:pPr>
              <w:numPr>
                <w:ilvl w:val="1"/>
                <w:numId w:val="1"/>
              </w:numPr>
              <w:spacing w:after="160" w:line="259" w:lineRule="auto"/>
              <w:contextualSpacing/>
            </w:pPr>
            <w:r w:rsidRPr="00623093">
              <w:t>Le Bureau l’exige</w:t>
            </w:r>
          </w:p>
          <w:p w14:paraId="3FD41244" w14:textId="1119A0AA" w:rsidR="0073355A" w:rsidRPr="00623093" w:rsidRDefault="00FE0987" w:rsidP="0073355A">
            <w:pPr>
              <w:numPr>
                <w:ilvl w:val="0"/>
                <w:numId w:val="1"/>
              </w:numPr>
              <w:spacing w:after="160" w:line="259" w:lineRule="auto"/>
              <w:contextualSpacing/>
            </w:pPr>
            <w:r w:rsidRPr="00623093">
              <w:t>Rapporte le travail effectué en AG (si nécessaire</w:t>
            </w:r>
            <w:r w:rsidR="00A10FAB" w:rsidRPr="00623093">
              <w:t xml:space="preserve"> ou exigé</w:t>
            </w:r>
            <w:r w:rsidRPr="00623093">
              <w:t>)</w:t>
            </w:r>
          </w:p>
          <w:p w14:paraId="45CD828F" w14:textId="222F5929" w:rsidR="00FE0987" w:rsidRPr="00623093" w:rsidRDefault="00FE0987" w:rsidP="0073355A">
            <w:pPr>
              <w:numPr>
                <w:ilvl w:val="0"/>
                <w:numId w:val="1"/>
              </w:numPr>
              <w:spacing w:after="160" w:line="259" w:lineRule="auto"/>
              <w:contextualSpacing/>
            </w:pPr>
            <w:r w:rsidRPr="00623093">
              <w:t>Transmet les informations nécessaires au</w:t>
            </w:r>
            <w:r w:rsidR="005F6488">
              <w:t xml:space="preserve"> GT Communication qui se charge de la coordination interne.</w:t>
            </w:r>
          </w:p>
        </w:tc>
      </w:tr>
    </w:tbl>
    <w:p w14:paraId="57CEC274" w14:textId="5D611A95" w:rsidR="00E07530" w:rsidRPr="00623093" w:rsidRDefault="00E07530" w:rsidP="00E07530">
      <w:pPr>
        <w:pStyle w:val="Titre1"/>
      </w:pPr>
      <w:bookmarkStart w:id="4" w:name="_Toc8333182"/>
      <w:r w:rsidRPr="00623093">
        <w:lastRenderedPageBreak/>
        <w:t>4. Documents officiels</w:t>
      </w:r>
      <w:bookmarkEnd w:id="4"/>
    </w:p>
    <w:p w14:paraId="3206B887" w14:textId="60447432" w:rsidR="00F55E81" w:rsidRPr="00623093" w:rsidRDefault="00FE0987" w:rsidP="00F55E81">
      <w:r w:rsidRPr="00623093">
        <w:t xml:space="preserve"> </w:t>
      </w:r>
      <w:r w:rsidR="00F55E81" w:rsidRPr="00623093">
        <w:t xml:space="preserve">Les documents officiels sont </w:t>
      </w:r>
      <w:r w:rsidR="005F54FD" w:rsidRPr="00623093">
        <w:t>consultables à tout moment par tout le monde.</w:t>
      </w:r>
      <w:r w:rsidR="005F54FD" w:rsidRPr="00623093">
        <w:rPr>
          <w:rStyle w:val="Appelnotedebasdep"/>
        </w:rPr>
        <w:footnoteReference w:id="9"/>
      </w:r>
    </w:p>
    <w:p w14:paraId="3D2A9661" w14:textId="50C6024C" w:rsidR="00A45761" w:rsidRPr="00623093" w:rsidRDefault="004A2DA8" w:rsidP="00F55E81">
      <w:r w:rsidRPr="00623093">
        <w:t>Pour ce faire, ils sont tous</w:t>
      </w:r>
      <w:r w:rsidRPr="00623093">
        <w:rPr>
          <w:rStyle w:val="Appelnotedebasdep"/>
        </w:rPr>
        <w:footnoteReference w:id="10"/>
      </w:r>
      <w:r w:rsidRPr="00623093">
        <w:t xml:space="preserve"> mis en ligne</w:t>
      </w:r>
      <w:r w:rsidR="00B72BDA" w:rsidRPr="00623093">
        <w:t xml:space="preserve"> sur</w:t>
      </w:r>
      <w:r w:rsidRPr="00623093">
        <w:t xml:space="preserve"> un site internet dédié. </w:t>
      </w:r>
    </w:p>
    <w:p w14:paraId="46E1EB75" w14:textId="77777777" w:rsidR="00E07530" w:rsidRPr="00623093" w:rsidRDefault="00E07530" w:rsidP="00E07530">
      <w:pPr>
        <w:pStyle w:val="Titre2"/>
      </w:pPr>
      <w:bookmarkStart w:id="5" w:name="_Toc8333183"/>
      <w:r w:rsidRPr="00623093">
        <w:t>4.1 Registre</w:t>
      </w:r>
      <w:bookmarkEnd w:id="5"/>
    </w:p>
    <w:p w14:paraId="6412CE3B" w14:textId="77777777" w:rsidR="00D61E9F" w:rsidRPr="00623093" w:rsidRDefault="005F54FD" w:rsidP="00F55E81">
      <w:r w:rsidRPr="00623093">
        <w:t>Le registre contient</w:t>
      </w:r>
      <w:r w:rsidR="00D61E9F" w:rsidRPr="00623093">
        <w:t> :</w:t>
      </w:r>
    </w:p>
    <w:p w14:paraId="407E8866" w14:textId="77777777" w:rsidR="00D61E9F" w:rsidRPr="00623093" w:rsidRDefault="00D61E9F" w:rsidP="00F55E81">
      <w:pPr>
        <w:pStyle w:val="Paragraphedeliste"/>
        <w:numPr>
          <w:ilvl w:val="0"/>
          <w:numId w:val="1"/>
        </w:numPr>
      </w:pPr>
      <w:r w:rsidRPr="00623093">
        <w:t>L</w:t>
      </w:r>
      <w:r w:rsidR="005F54FD" w:rsidRPr="00623093">
        <w:t xml:space="preserve">a </w:t>
      </w:r>
      <w:r w:rsidRPr="00623093">
        <w:t>L</w:t>
      </w:r>
      <w:r w:rsidR="005F54FD" w:rsidRPr="00623093">
        <w:t>iste de tous les groupes de travail ainsi que le prénom de la personne qui en est responsable</w:t>
      </w:r>
      <w:r w:rsidRPr="00623093">
        <w:t>.</w:t>
      </w:r>
    </w:p>
    <w:p w14:paraId="51437829" w14:textId="77777777" w:rsidR="00D61E9F" w:rsidRPr="00623093" w:rsidRDefault="00D61E9F" w:rsidP="00F55E81">
      <w:pPr>
        <w:pStyle w:val="Paragraphedeliste"/>
        <w:numPr>
          <w:ilvl w:val="0"/>
          <w:numId w:val="1"/>
        </w:numPr>
      </w:pPr>
      <w:r w:rsidRPr="00623093">
        <w:t>Les Objectifs de chaque groupe de travail</w:t>
      </w:r>
    </w:p>
    <w:p w14:paraId="2465A532" w14:textId="7625C073" w:rsidR="00D61E9F" w:rsidRPr="00623093" w:rsidRDefault="00D61E9F" w:rsidP="00F55E81">
      <w:pPr>
        <w:pStyle w:val="Paragraphedeliste"/>
        <w:numPr>
          <w:ilvl w:val="0"/>
          <w:numId w:val="1"/>
        </w:numPr>
      </w:pPr>
      <w:r w:rsidRPr="00623093">
        <w:t xml:space="preserve">Les </w:t>
      </w:r>
      <w:proofErr w:type="spellStart"/>
      <w:r w:rsidRPr="00623093">
        <w:t>PVs</w:t>
      </w:r>
      <w:proofErr w:type="spellEnd"/>
      <w:r w:rsidRPr="00623093">
        <w:t xml:space="preserve"> </w:t>
      </w:r>
      <w:r w:rsidR="004A2DA8" w:rsidRPr="00623093">
        <w:t>de chaque</w:t>
      </w:r>
      <w:r w:rsidRPr="00623093">
        <w:t xml:space="preserve"> réunion des groupes de travail</w:t>
      </w:r>
      <w:r w:rsidR="004A2DA8" w:rsidRPr="00623093">
        <w:rPr>
          <w:rStyle w:val="Appelnotedebasdep"/>
        </w:rPr>
        <w:footnoteReference w:id="11"/>
      </w:r>
    </w:p>
    <w:p w14:paraId="6A7F4302" w14:textId="794236CE" w:rsidR="00D61E9F" w:rsidRPr="00623093" w:rsidRDefault="00D61E9F" w:rsidP="00F55E81">
      <w:pPr>
        <w:pStyle w:val="Paragraphedeliste"/>
        <w:numPr>
          <w:ilvl w:val="0"/>
          <w:numId w:val="1"/>
        </w:numPr>
      </w:pPr>
      <w:r w:rsidRPr="00623093">
        <w:t xml:space="preserve">Le Prénom des membres du </w:t>
      </w:r>
      <w:r w:rsidR="00E16697" w:rsidRPr="00623093">
        <w:t>Bureau</w:t>
      </w:r>
    </w:p>
    <w:p w14:paraId="75233B2E" w14:textId="02963DC6" w:rsidR="008D0804" w:rsidRPr="00623093" w:rsidRDefault="008D0804" w:rsidP="00F55E81">
      <w:pPr>
        <w:pStyle w:val="Paragraphedeliste"/>
        <w:numPr>
          <w:ilvl w:val="0"/>
          <w:numId w:val="1"/>
        </w:numPr>
      </w:pPr>
      <w:r w:rsidRPr="00623093">
        <w:t>La Liste de toutes les délégations ainsi que le prénom de la personne qui en est responsable</w:t>
      </w:r>
    </w:p>
    <w:p w14:paraId="2F3A8762" w14:textId="77777777" w:rsidR="00E07530" w:rsidRPr="00623093" w:rsidRDefault="00E07530" w:rsidP="00E07530">
      <w:pPr>
        <w:pStyle w:val="Titre2"/>
      </w:pPr>
      <w:bookmarkStart w:id="6" w:name="_Toc8333184"/>
      <w:r w:rsidRPr="00623093">
        <w:t>4.2 Notes décisionnelles</w:t>
      </w:r>
      <w:bookmarkEnd w:id="6"/>
    </w:p>
    <w:p w14:paraId="73688467" w14:textId="44B4AD9D" w:rsidR="00D61E9F" w:rsidRPr="00623093" w:rsidRDefault="00D61E9F" w:rsidP="00D61E9F">
      <w:r w:rsidRPr="00623093">
        <w:t xml:space="preserve">Le </w:t>
      </w:r>
      <w:r w:rsidR="00E16697" w:rsidRPr="00623093">
        <w:t>Bureau</w:t>
      </w:r>
      <w:r w:rsidRPr="00623093">
        <w:t xml:space="preserve"> note toutes les décisions prises (sauf décisions confidentielles) et les rend publiques.</w:t>
      </w:r>
    </w:p>
    <w:p w14:paraId="0BAC6067" w14:textId="77777777" w:rsidR="003B6D71" w:rsidRPr="00623093" w:rsidRDefault="00D61E9F" w:rsidP="00D61E9F">
      <w:pPr>
        <w:pStyle w:val="Titre2"/>
      </w:pPr>
      <w:bookmarkStart w:id="7" w:name="_Toc8333185"/>
      <w:r w:rsidRPr="00623093">
        <w:t>4.3 PV de l’AG</w:t>
      </w:r>
      <w:bookmarkEnd w:id="7"/>
    </w:p>
    <w:p w14:paraId="773F7A83" w14:textId="37504A8F" w:rsidR="000C03DD" w:rsidRPr="00623093" w:rsidRDefault="00D61E9F">
      <w:r w:rsidRPr="00623093">
        <w:t>Le PV de l’AG est également disponible et consultable par tous.</w:t>
      </w:r>
      <w:r w:rsidR="00877A6B" w:rsidRPr="00623093">
        <w:t xml:space="preserve"> Il est tenu par l’un des membres présents à l’AG.</w:t>
      </w:r>
      <w:r w:rsidR="007E4D1F" w:rsidRPr="00623093">
        <w:t xml:space="preserve"> Il est décisionnel.</w:t>
      </w:r>
    </w:p>
    <w:p w14:paraId="2B9AFA34" w14:textId="77777777" w:rsidR="000C03DD" w:rsidRPr="00623093" w:rsidRDefault="000C03DD" w:rsidP="000C03DD">
      <w:pPr>
        <w:pStyle w:val="Titre2"/>
      </w:pPr>
      <w:bookmarkStart w:id="8" w:name="_Toc8333186"/>
      <w:r w:rsidRPr="00623093">
        <w:t>4.4 État des comptes</w:t>
      </w:r>
      <w:bookmarkEnd w:id="8"/>
    </w:p>
    <w:p w14:paraId="6EFB01FE" w14:textId="0FA910A3" w:rsidR="003B6D71" w:rsidRPr="00623093" w:rsidRDefault="000C03DD" w:rsidP="000C03DD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 w:rsidRPr="00623093">
        <w:t>L’état des comptes est tenu par le groupe de travail finances. Il est à tout moment consultable par le Bureau où à l’AG, mais n’est pas rendu public.</w:t>
      </w:r>
      <w:r w:rsidR="003B6D71" w:rsidRPr="00623093">
        <w:br w:type="page"/>
      </w:r>
    </w:p>
    <w:p w14:paraId="2E885E6B" w14:textId="77777777" w:rsidR="003B6D71" w:rsidRPr="00623093" w:rsidRDefault="003B6D71" w:rsidP="003B6D71">
      <w:pPr>
        <w:pStyle w:val="Titre1"/>
      </w:pPr>
      <w:bookmarkStart w:id="9" w:name="_Toc8333187"/>
      <w:r w:rsidRPr="00623093">
        <w:lastRenderedPageBreak/>
        <w:t>5. Charte</w:t>
      </w:r>
      <w:bookmarkEnd w:id="9"/>
    </w:p>
    <w:p w14:paraId="409AED23" w14:textId="21C1DD57" w:rsidR="003B6D71" w:rsidRPr="00623093" w:rsidRDefault="003B6D71" w:rsidP="003B6D71">
      <w:r w:rsidRPr="00623093">
        <w:t xml:space="preserve">La présente charte a pour but de définir le fonctionnement et les actions du mouvement. Ces points </w:t>
      </w:r>
      <w:r w:rsidR="00B72BDA" w:rsidRPr="00623093">
        <w:t>doivent être</w:t>
      </w:r>
      <w:r w:rsidRPr="00623093">
        <w:t xml:space="preserve"> respecté</w:t>
      </w:r>
      <w:r w:rsidR="00B72BDA" w:rsidRPr="00623093">
        <w:t>s</w:t>
      </w:r>
      <w:r w:rsidRPr="00623093">
        <w:t xml:space="preserve"> par </w:t>
      </w:r>
      <w:r w:rsidR="00BE3B14" w:rsidRPr="00623093">
        <w:t>s</w:t>
      </w:r>
      <w:r w:rsidRPr="00623093">
        <w:t>es membres</w:t>
      </w:r>
      <w:r w:rsidR="00A10FAB" w:rsidRPr="00623093">
        <w:t xml:space="preserve"> et les définissent</w:t>
      </w:r>
      <w:r w:rsidRPr="00623093">
        <w:t>. Ces points sont :</w:t>
      </w:r>
    </w:p>
    <w:p w14:paraId="12882F62" w14:textId="716EEE5B" w:rsidR="003B6D71" w:rsidRPr="00623093" w:rsidRDefault="00B72BDA" w:rsidP="003B6D71">
      <w:pPr>
        <w:pStyle w:val="Paragraphedeliste"/>
        <w:numPr>
          <w:ilvl w:val="0"/>
          <w:numId w:val="2"/>
        </w:numPr>
      </w:pPr>
      <w:r w:rsidRPr="00623093">
        <w:t xml:space="preserve">La Coordination fribourgeoise du Collectif des Grèves du Climat </w:t>
      </w:r>
      <w:r w:rsidR="003B6D71" w:rsidRPr="00623093">
        <w:t xml:space="preserve">est </w:t>
      </w:r>
      <w:r w:rsidRPr="00623093">
        <w:t>affiliée</w:t>
      </w:r>
      <w:r w:rsidR="003B6D71" w:rsidRPr="00623093">
        <w:t xml:space="preserve"> au mouvement national et respecte les décisions prises lors des congrès nationaux.</w:t>
      </w:r>
    </w:p>
    <w:p w14:paraId="0D8E8A03" w14:textId="77777777" w:rsidR="003B6D71" w:rsidRPr="00623093" w:rsidRDefault="003B6D71" w:rsidP="003B6D71">
      <w:pPr>
        <w:pStyle w:val="Paragraphedeliste"/>
      </w:pPr>
    </w:p>
    <w:p w14:paraId="30514C8A" w14:textId="79004526" w:rsidR="003B6D71" w:rsidRPr="00623093" w:rsidRDefault="003B6D71" w:rsidP="003B6D71">
      <w:pPr>
        <w:pStyle w:val="Paragraphedeliste"/>
        <w:numPr>
          <w:ilvl w:val="0"/>
          <w:numId w:val="2"/>
        </w:numPr>
      </w:pPr>
      <w:r w:rsidRPr="00623093">
        <w:t>Comme valeurs fondatrices</w:t>
      </w:r>
      <w:r w:rsidR="00A10FAB" w:rsidRPr="00623093">
        <w:t xml:space="preserve">, la Coordination fribourgeoise du Collectif des Grèves du Climat </w:t>
      </w:r>
      <w:r w:rsidRPr="00623093">
        <w:t>reprend celles du mouvement national qui sont</w:t>
      </w:r>
      <w:r w:rsidR="00BE3B14" w:rsidRPr="00623093">
        <w:t xml:space="preserve"> : </w:t>
      </w:r>
      <w:r w:rsidRPr="00623093">
        <w:t>la solidarité, l'égalité et la liberté</w:t>
      </w:r>
      <w:r w:rsidR="00BE3B14" w:rsidRPr="00623093">
        <w:t>,</w:t>
      </w:r>
      <w:r w:rsidRPr="00623093">
        <w:t xml:space="preserve"> et les étendent à </w:t>
      </w:r>
      <w:r w:rsidRPr="00623093">
        <w:rPr>
          <w:color w:val="000000" w:themeColor="text1"/>
        </w:rPr>
        <w:t>l'ensemble</w:t>
      </w:r>
      <w:r w:rsidRPr="00623093">
        <w:t xml:space="preserve"> de la planète.</w:t>
      </w:r>
    </w:p>
    <w:p w14:paraId="39F20D7E" w14:textId="77777777" w:rsidR="003B6D71" w:rsidRPr="00623093" w:rsidRDefault="003B6D71" w:rsidP="003B6D71">
      <w:pPr>
        <w:pStyle w:val="Paragraphedeliste"/>
      </w:pPr>
    </w:p>
    <w:p w14:paraId="15FC7FEE" w14:textId="7DF275F4" w:rsidR="003B6D71" w:rsidRPr="00623093" w:rsidRDefault="003B6D71" w:rsidP="003B6D71">
      <w:pPr>
        <w:pStyle w:val="Paragraphedeliste"/>
        <w:numPr>
          <w:ilvl w:val="0"/>
          <w:numId w:val="2"/>
        </w:numPr>
      </w:pPr>
      <w:r w:rsidRPr="00623093">
        <w:t>La structure du mouvement se veut transparente, efficace</w:t>
      </w:r>
      <w:r w:rsidR="00A10FAB" w:rsidRPr="00623093">
        <w:t xml:space="preserve">, </w:t>
      </w:r>
      <w:r w:rsidRPr="00623093">
        <w:t>démocratique</w:t>
      </w:r>
      <w:r w:rsidR="00A10FAB" w:rsidRPr="00623093">
        <w:t xml:space="preserve"> et horizontale.</w:t>
      </w:r>
    </w:p>
    <w:p w14:paraId="12C4892F" w14:textId="77777777" w:rsidR="003B6D71" w:rsidRPr="00623093" w:rsidRDefault="003B6D71" w:rsidP="003B6D71">
      <w:pPr>
        <w:pStyle w:val="Paragraphedeliste"/>
      </w:pPr>
    </w:p>
    <w:p w14:paraId="18CF7AA3" w14:textId="77777777" w:rsidR="003B6D71" w:rsidRPr="00623093" w:rsidRDefault="003B6D71" w:rsidP="003B6D71">
      <w:pPr>
        <w:pStyle w:val="Paragraphedeliste"/>
        <w:numPr>
          <w:ilvl w:val="0"/>
          <w:numId w:val="2"/>
        </w:numPr>
      </w:pPr>
      <w:r w:rsidRPr="00623093">
        <w:t>Le but du mouvement est l'application des revendications nationales au niveau cantonal et fédéral.</w:t>
      </w:r>
    </w:p>
    <w:p w14:paraId="6AA07948" w14:textId="77777777" w:rsidR="003B6D71" w:rsidRPr="00623093" w:rsidRDefault="003B6D71" w:rsidP="003B6D71">
      <w:pPr>
        <w:pStyle w:val="Paragraphedeliste"/>
        <w:ind w:left="644"/>
      </w:pPr>
    </w:p>
    <w:p w14:paraId="2959B698" w14:textId="7E4F1B87" w:rsidR="003B6D71" w:rsidRPr="00623093" w:rsidRDefault="003B6D71" w:rsidP="003B6D71">
      <w:pPr>
        <w:pStyle w:val="Paragraphedeliste"/>
        <w:numPr>
          <w:ilvl w:val="0"/>
          <w:numId w:val="2"/>
        </w:numPr>
      </w:pPr>
      <w:r w:rsidRPr="00623093">
        <w:t xml:space="preserve">Le mouvement est indépendant des partis et d'autres associations et n'affiche aucun soutient pour eux, mais peut accepter </w:t>
      </w:r>
      <w:r w:rsidRPr="00623093">
        <w:rPr>
          <w:color w:val="000000" w:themeColor="text1"/>
        </w:rPr>
        <w:t>leur soutien</w:t>
      </w:r>
      <w:r w:rsidRPr="00623093">
        <w:t>.</w:t>
      </w:r>
    </w:p>
    <w:p w14:paraId="71BEAD39" w14:textId="77777777" w:rsidR="003B6D71" w:rsidRPr="00623093" w:rsidRDefault="003B6D71" w:rsidP="003B6D71">
      <w:pPr>
        <w:pStyle w:val="Paragraphedeliste"/>
        <w:numPr>
          <w:ilvl w:val="1"/>
          <w:numId w:val="2"/>
        </w:numPr>
      </w:pPr>
      <w:r w:rsidRPr="00623093">
        <w:t>Toute tentative de récupération du mouvement sera condamnée.</w:t>
      </w:r>
    </w:p>
    <w:p w14:paraId="3B0852E7" w14:textId="2A2B2859" w:rsidR="003B6D71" w:rsidRPr="00623093" w:rsidRDefault="003B6D71" w:rsidP="003B6D71">
      <w:pPr>
        <w:pStyle w:val="Paragraphedeliste"/>
        <w:numPr>
          <w:ilvl w:val="1"/>
          <w:numId w:val="2"/>
        </w:numPr>
      </w:pPr>
      <w:r w:rsidRPr="00623093">
        <w:t xml:space="preserve">Les militants et membres d'autres organisations peuvent intégrer le mouvement et conserver leurs convictions, </w:t>
      </w:r>
      <w:r w:rsidR="00A10FAB" w:rsidRPr="00623093">
        <w:t>mais ne peuvent pas promouvoir l’adhésion à leur organisation en son sein.</w:t>
      </w:r>
    </w:p>
    <w:p w14:paraId="496130AC" w14:textId="77777777" w:rsidR="003B6D71" w:rsidRPr="00623093" w:rsidRDefault="003B6D71" w:rsidP="003B6D71">
      <w:pPr>
        <w:pStyle w:val="Paragraphedeliste"/>
        <w:numPr>
          <w:ilvl w:val="1"/>
          <w:numId w:val="2"/>
        </w:numPr>
      </w:pPr>
      <w:r w:rsidRPr="00623093">
        <w:t>En cas de conflit d’intérêt, les militants doivent s’abstenir d’agir.</w:t>
      </w:r>
    </w:p>
    <w:p w14:paraId="30951EA3" w14:textId="77777777" w:rsidR="003B6D71" w:rsidRPr="00623093" w:rsidRDefault="003B6D71" w:rsidP="003B6D71">
      <w:pPr>
        <w:pStyle w:val="Paragraphedeliste"/>
        <w:ind w:left="1440"/>
      </w:pPr>
    </w:p>
    <w:p w14:paraId="63C5191F" w14:textId="77777777" w:rsidR="003B6D71" w:rsidRPr="00623093" w:rsidRDefault="003B6D71" w:rsidP="003B6D71">
      <w:pPr>
        <w:pStyle w:val="Paragraphedeliste"/>
        <w:numPr>
          <w:ilvl w:val="0"/>
          <w:numId w:val="2"/>
        </w:numPr>
      </w:pPr>
      <w:r w:rsidRPr="00623093">
        <w:t>La parité doit, au possible, être respectée lors des apparitions et prises de parole publique ainsi que dans certaines instances du mouvement.</w:t>
      </w:r>
    </w:p>
    <w:p w14:paraId="1B61A629" w14:textId="77777777" w:rsidR="003B6D71" w:rsidRPr="00623093" w:rsidRDefault="003B6D71" w:rsidP="003B6D71">
      <w:pPr>
        <w:pStyle w:val="Paragraphedeliste"/>
      </w:pPr>
    </w:p>
    <w:p w14:paraId="0C303BF4" w14:textId="01094E70" w:rsidR="003B6D71" w:rsidRPr="00623093" w:rsidRDefault="003B6D71" w:rsidP="003B6D71">
      <w:pPr>
        <w:pStyle w:val="Paragraphedeliste"/>
        <w:numPr>
          <w:ilvl w:val="0"/>
          <w:numId w:val="2"/>
        </w:numPr>
        <w:rPr>
          <w:color w:val="000000" w:themeColor="text1"/>
        </w:rPr>
      </w:pPr>
      <w:r w:rsidRPr="00623093">
        <w:t>Le mouvement se doit de condamner tou</w:t>
      </w:r>
      <w:r w:rsidR="00B72BDA" w:rsidRPr="00623093">
        <w:t>s les</w:t>
      </w:r>
      <w:r w:rsidRPr="00623093">
        <w:t xml:space="preserve"> propos discriminatoires condamnés </w:t>
      </w:r>
      <w:r w:rsidR="00BE3B14" w:rsidRPr="00623093">
        <w:t>par la</w:t>
      </w:r>
      <w:r w:rsidRPr="00623093">
        <w:t xml:space="preserve"> déclaration universelle des droits de l’homme </w:t>
      </w:r>
      <w:r w:rsidR="004A2DA8" w:rsidRPr="00623093">
        <w:t>provenant de ses membres</w:t>
      </w:r>
      <w:r w:rsidRPr="00623093">
        <w:rPr>
          <w:color w:val="000000" w:themeColor="text1"/>
        </w:rPr>
        <w:t>.</w:t>
      </w:r>
    </w:p>
    <w:p w14:paraId="3178B6F0" w14:textId="77777777" w:rsidR="003B6D71" w:rsidRPr="00623093" w:rsidRDefault="003B6D71" w:rsidP="003B6D71">
      <w:pPr>
        <w:pStyle w:val="Paragraphedeliste"/>
      </w:pPr>
    </w:p>
    <w:p w14:paraId="7F0EF0F9" w14:textId="6DC33D33" w:rsidR="003B6D71" w:rsidRPr="00623093" w:rsidRDefault="00A10FAB" w:rsidP="003B6D71">
      <w:pPr>
        <w:pStyle w:val="Paragraphedeliste"/>
        <w:numPr>
          <w:ilvl w:val="0"/>
          <w:numId w:val="2"/>
        </w:numPr>
      </w:pPr>
      <w:r w:rsidRPr="00623093">
        <w:t>Le mouvement ne se prononce pas sur les questions religieuses.</w:t>
      </w:r>
    </w:p>
    <w:p w14:paraId="7B3F6DD9" w14:textId="77777777" w:rsidR="003B6D71" w:rsidRPr="00623093" w:rsidRDefault="003B6D71" w:rsidP="003B6D71">
      <w:pPr>
        <w:pStyle w:val="Paragraphedeliste"/>
      </w:pPr>
    </w:p>
    <w:p w14:paraId="28BA8416" w14:textId="12D9878F" w:rsidR="003B6D71" w:rsidRPr="00623093" w:rsidRDefault="003B6D71" w:rsidP="004A2DA8">
      <w:pPr>
        <w:pStyle w:val="Paragraphedeliste"/>
        <w:numPr>
          <w:ilvl w:val="0"/>
          <w:numId w:val="2"/>
        </w:numPr>
      </w:pPr>
      <w:r w:rsidRPr="00623093">
        <w:t xml:space="preserve">Le mouvement, pour atteindre ses objectifs, agit par le biais d'actions qui </w:t>
      </w:r>
      <w:r w:rsidR="00FE0987" w:rsidRPr="00623093">
        <w:t>sont :</w:t>
      </w:r>
    </w:p>
    <w:p w14:paraId="166A03E1" w14:textId="77777777" w:rsidR="003B6D71" w:rsidRPr="00623093" w:rsidRDefault="003B6D71" w:rsidP="003B6D71">
      <w:pPr>
        <w:pStyle w:val="Paragraphedeliste"/>
        <w:numPr>
          <w:ilvl w:val="1"/>
          <w:numId w:val="2"/>
        </w:numPr>
      </w:pPr>
      <w:r w:rsidRPr="00623093">
        <w:t>Des démonstrations de masses tel que des manifestations ou des grèves</w:t>
      </w:r>
    </w:p>
    <w:p w14:paraId="7C2397F1" w14:textId="77777777" w:rsidR="003B6D71" w:rsidRPr="00623093" w:rsidRDefault="003B6D71" w:rsidP="003B6D71">
      <w:pPr>
        <w:pStyle w:val="Paragraphedeliste"/>
        <w:numPr>
          <w:ilvl w:val="1"/>
          <w:numId w:val="2"/>
        </w:numPr>
      </w:pPr>
      <w:r w:rsidRPr="00623093">
        <w:t>Des actions symboliques</w:t>
      </w:r>
    </w:p>
    <w:p w14:paraId="7C88E425" w14:textId="77777777" w:rsidR="003B6D71" w:rsidRPr="00623093" w:rsidRDefault="003B6D71" w:rsidP="003B6D71">
      <w:pPr>
        <w:pStyle w:val="Paragraphedeliste"/>
        <w:numPr>
          <w:ilvl w:val="1"/>
          <w:numId w:val="2"/>
        </w:numPr>
      </w:pPr>
      <w:r w:rsidRPr="00623093">
        <w:t>De la désobéissance civile</w:t>
      </w:r>
    </w:p>
    <w:p w14:paraId="2AA5595A" w14:textId="77777777" w:rsidR="003B6D71" w:rsidRPr="00623093" w:rsidRDefault="003B6D71" w:rsidP="003B6D71">
      <w:pPr>
        <w:pStyle w:val="Paragraphedeliste"/>
        <w:numPr>
          <w:ilvl w:val="2"/>
          <w:numId w:val="2"/>
        </w:numPr>
      </w:pPr>
      <w:r w:rsidRPr="00623093">
        <w:t>Non-violente</w:t>
      </w:r>
    </w:p>
    <w:p w14:paraId="2461998E" w14:textId="743039C9" w:rsidR="003B6D71" w:rsidRPr="00623093" w:rsidRDefault="005A177A" w:rsidP="003B6D71">
      <w:pPr>
        <w:pStyle w:val="Paragraphedeliste"/>
        <w:numPr>
          <w:ilvl w:val="2"/>
          <w:numId w:val="2"/>
        </w:numPr>
      </w:pPr>
      <w:r w:rsidRPr="00623093">
        <w:t xml:space="preserve">Les violences ou dégradations à l’encontre de biens matériels </w:t>
      </w:r>
      <w:r w:rsidR="00A10FAB" w:rsidRPr="00623093">
        <w:t>sont</w:t>
      </w:r>
      <w:r w:rsidRPr="00623093">
        <w:t xml:space="preserve"> </w:t>
      </w:r>
      <w:r w:rsidR="00D74C5A" w:rsidRPr="00623093">
        <w:t>à discuter avec le Bureau.</w:t>
      </w:r>
    </w:p>
    <w:p w14:paraId="26D65826" w14:textId="7C21C09C" w:rsidR="004A2DA8" w:rsidRPr="00623093" w:rsidRDefault="003B6D71" w:rsidP="004A2DA8">
      <w:pPr>
        <w:pStyle w:val="Paragraphedeliste"/>
        <w:numPr>
          <w:ilvl w:val="2"/>
          <w:numId w:val="2"/>
        </w:numPr>
      </w:pPr>
      <w:r w:rsidRPr="00623093">
        <w:t xml:space="preserve">Les violences contre les personnes et les êtres vivants sont </w:t>
      </w:r>
      <w:proofErr w:type="gramStart"/>
      <w:r w:rsidRPr="00623093">
        <w:t>interdites</w:t>
      </w:r>
      <w:proofErr w:type="gramEnd"/>
      <w:r w:rsidRPr="00623093">
        <w:t>.</w:t>
      </w:r>
    </w:p>
    <w:p w14:paraId="35E71F60" w14:textId="77777777" w:rsidR="004A2DA8" w:rsidRPr="00623093" w:rsidRDefault="004A2DA8" w:rsidP="004A2DA8">
      <w:pPr>
        <w:pStyle w:val="Paragraphedeliste"/>
        <w:ind w:left="2160"/>
      </w:pPr>
    </w:p>
    <w:p w14:paraId="10786C9D" w14:textId="7925BBDE" w:rsidR="003B6D71" w:rsidRDefault="003B6D71" w:rsidP="004A1537">
      <w:pPr>
        <w:pStyle w:val="Paragraphedeliste"/>
        <w:numPr>
          <w:ilvl w:val="0"/>
          <w:numId w:val="2"/>
        </w:numPr>
      </w:pPr>
      <w:r w:rsidRPr="00623093">
        <w:t>Les personnes mandatées pour parler au nom du mouvement se doivent de respecter les décisions prises à l'interne.</w:t>
      </w:r>
    </w:p>
    <w:p w14:paraId="37A52A8F" w14:textId="77777777" w:rsidR="00623093" w:rsidRPr="00623093" w:rsidRDefault="00623093" w:rsidP="00623093">
      <w:pPr>
        <w:pStyle w:val="Paragraphedeliste"/>
        <w:ind w:left="644"/>
      </w:pPr>
    </w:p>
    <w:p w14:paraId="76EB8FFC" w14:textId="6DB70883" w:rsidR="003B6D71" w:rsidRPr="00623093" w:rsidRDefault="003B6D71" w:rsidP="003B6D71">
      <w:pPr>
        <w:pStyle w:val="Paragraphedeliste"/>
        <w:numPr>
          <w:ilvl w:val="0"/>
          <w:numId w:val="2"/>
        </w:numPr>
      </w:pPr>
      <w:r w:rsidRPr="00623093">
        <w:t>En cas de non-respect de la charte, le</w:t>
      </w:r>
      <w:r w:rsidR="00B72BDA" w:rsidRPr="00623093">
        <w:t>, la</w:t>
      </w:r>
      <w:r w:rsidRPr="00623093">
        <w:t xml:space="preserve"> ou les membres concernés peuvent subir des sanctions allant jusqu'à l'exclusion en cas de répétition</w:t>
      </w:r>
      <w:r w:rsidR="00341DAE" w:rsidRPr="00623093">
        <w:t>s</w:t>
      </w:r>
      <w:r w:rsidRPr="00623093">
        <w:t xml:space="preserve"> ou de faute grave.</w:t>
      </w:r>
    </w:p>
    <w:sectPr w:rsidR="003B6D71" w:rsidRPr="00623093" w:rsidSect="00CC2C64">
      <w:headerReference w:type="default" r:id="rId9"/>
      <w:foot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74C702" w14:textId="77777777" w:rsidR="003B5E7A" w:rsidRDefault="003B5E7A" w:rsidP="004B519B">
      <w:pPr>
        <w:spacing w:after="0" w:line="240" w:lineRule="auto"/>
      </w:pPr>
      <w:r>
        <w:separator/>
      </w:r>
    </w:p>
  </w:endnote>
  <w:endnote w:type="continuationSeparator" w:id="0">
    <w:p w14:paraId="195C8288" w14:textId="77777777" w:rsidR="003B5E7A" w:rsidRDefault="003B5E7A" w:rsidP="004B5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E6555" w14:textId="78D2F954" w:rsidR="00DE46BE" w:rsidRDefault="00DE46BE">
    <w:pPr>
      <w:pStyle w:val="Pieddepage"/>
    </w:pPr>
    <w:r>
      <w:tab/>
    </w:r>
    <w:r>
      <w:rPr>
        <w:lang w:val="fr-FR"/>
      </w:rPr>
      <w:t xml:space="preserve">Page | </w:t>
    </w:r>
    <w:r>
      <w:fldChar w:fldCharType="begin"/>
    </w:r>
    <w:r>
      <w:instrText>PAGE   \* MERGEFORMAT</w:instrText>
    </w:r>
    <w:r>
      <w:fldChar w:fldCharType="separate"/>
    </w:r>
    <w:r>
      <w:rPr>
        <w:lang w:val="fr-FR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6EC333" w14:textId="77777777" w:rsidR="003B5E7A" w:rsidRDefault="003B5E7A" w:rsidP="004B519B">
      <w:pPr>
        <w:spacing w:after="0" w:line="240" w:lineRule="auto"/>
      </w:pPr>
      <w:r>
        <w:separator/>
      </w:r>
    </w:p>
  </w:footnote>
  <w:footnote w:type="continuationSeparator" w:id="0">
    <w:p w14:paraId="1D713CDE" w14:textId="77777777" w:rsidR="003B5E7A" w:rsidRDefault="003B5E7A" w:rsidP="004B519B">
      <w:pPr>
        <w:spacing w:after="0" w:line="240" w:lineRule="auto"/>
      </w:pPr>
      <w:r>
        <w:continuationSeparator/>
      </w:r>
    </w:p>
  </w:footnote>
  <w:footnote w:id="1">
    <w:p w14:paraId="027F86D1" w14:textId="1B49741B" w:rsidR="00851926" w:rsidRPr="00623093" w:rsidRDefault="00851926">
      <w:pPr>
        <w:pStyle w:val="Notedebasdepage"/>
      </w:pPr>
      <w:r w:rsidRPr="00623093">
        <w:rPr>
          <w:rStyle w:val="Appelnotedebasdep"/>
        </w:rPr>
        <w:footnoteRef/>
      </w:r>
      <w:r w:rsidRPr="00623093">
        <w:t xml:space="preserve"> Voir Document annexe</w:t>
      </w:r>
    </w:p>
  </w:footnote>
  <w:footnote w:id="2">
    <w:p w14:paraId="1BAFBE5A" w14:textId="1B7E58D8" w:rsidR="00DA4AAD" w:rsidRPr="00623093" w:rsidRDefault="00DA4AAD">
      <w:pPr>
        <w:pStyle w:val="Notedebasdepage"/>
      </w:pPr>
      <w:r w:rsidRPr="00623093">
        <w:rPr>
          <w:rStyle w:val="Appelnotedebasdep"/>
        </w:rPr>
        <w:footnoteRef/>
      </w:r>
      <w:r w:rsidRPr="00623093">
        <w:t xml:space="preserve"> Par le Bureau ou l’AG</w:t>
      </w:r>
    </w:p>
  </w:footnote>
  <w:footnote w:id="3">
    <w:p w14:paraId="6A68B261" w14:textId="31DD6C9F" w:rsidR="00DA4AAD" w:rsidRPr="00623093" w:rsidRDefault="00DA4AAD">
      <w:pPr>
        <w:pStyle w:val="Notedebasdepage"/>
      </w:pPr>
      <w:r w:rsidRPr="00623093">
        <w:rPr>
          <w:rStyle w:val="Appelnotedebasdep"/>
        </w:rPr>
        <w:footnoteRef/>
      </w:r>
      <w:r w:rsidRPr="00623093">
        <w:t xml:space="preserve"> Par le Bureau ou l’AG</w:t>
      </w:r>
    </w:p>
  </w:footnote>
  <w:footnote w:id="4">
    <w:p w14:paraId="08A37F4F" w14:textId="2072E555" w:rsidR="00243D93" w:rsidRDefault="00243D93">
      <w:pPr>
        <w:pStyle w:val="Notedebasdepage"/>
      </w:pPr>
      <w:r w:rsidRPr="00623093">
        <w:rPr>
          <w:rStyle w:val="Appelnotedebasdep"/>
        </w:rPr>
        <w:footnoteRef/>
      </w:r>
      <w:r w:rsidRPr="00623093">
        <w:t xml:space="preserve"> Projets </w:t>
      </w:r>
      <w:r w:rsidR="00CE6760" w:rsidRPr="00623093">
        <w:t>proposés par des personnes (physiques ou morales) hors groupes de travail</w:t>
      </w:r>
      <w:r w:rsidR="00DA4AAD" w:rsidRPr="00623093">
        <w:t>, au Bureau après la mise à disposition de l’ordre du jour par le Bureau</w:t>
      </w:r>
    </w:p>
  </w:footnote>
  <w:footnote w:id="5">
    <w:p w14:paraId="021F22D2" w14:textId="5DB90AD4" w:rsidR="00DA4AAD" w:rsidRPr="00623093" w:rsidRDefault="00DA4AAD">
      <w:pPr>
        <w:pStyle w:val="Notedebasdepage"/>
      </w:pPr>
      <w:r w:rsidRPr="00623093">
        <w:rPr>
          <w:rStyle w:val="Appelnotedebasdep"/>
        </w:rPr>
        <w:footnoteRef/>
      </w:r>
      <w:r w:rsidRPr="00623093">
        <w:t xml:space="preserve"> Au moyen du site par exemple</w:t>
      </w:r>
    </w:p>
  </w:footnote>
  <w:footnote w:id="6">
    <w:p w14:paraId="0357BBB7" w14:textId="77777777" w:rsidR="00E73FE8" w:rsidRPr="00623093" w:rsidRDefault="00E73FE8" w:rsidP="00E73FE8">
      <w:pPr>
        <w:pStyle w:val="Notedebasdepage"/>
      </w:pPr>
      <w:r w:rsidRPr="00623093">
        <w:rPr>
          <w:rStyle w:val="Appelnotedebasdep"/>
        </w:rPr>
        <w:footnoteRef/>
      </w:r>
      <w:r w:rsidRPr="00623093">
        <w:t xml:space="preserve"> Voir 4.1</w:t>
      </w:r>
    </w:p>
  </w:footnote>
  <w:footnote w:id="7">
    <w:p w14:paraId="57C90FEE" w14:textId="77777777" w:rsidR="00E73FE8" w:rsidRDefault="00FE0987" w:rsidP="00E73FE8">
      <w:pPr>
        <w:pStyle w:val="Notedebasdepage"/>
      </w:pPr>
      <w:r w:rsidRPr="00623093">
        <w:rPr>
          <w:rStyle w:val="Appelnotedebasdep"/>
        </w:rPr>
        <w:t xml:space="preserve"> </w:t>
      </w:r>
      <w:r w:rsidR="00E73FE8" w:rsidRPr="00623093">
        <w:rPr>
          <w:rStyle w:val="Appelnotedebasdep"/>
        </w:rPr>
        <w:footnoteRef/>
      </w:r>
      <w:r w:rsidR="00E73FE8" w:rsidRPr="00623093">
        <w:t xml:space="preserve"> Voir 4.2</w:t>
      </w:r>
    </w:p>
  </w:footnote>
  <w:footnote w:id="8">
    <w:p w14:paraId="60D766E6" w14:textId="00BA68A9" w:rsidR="00E04DAC" w:rsidRDefault="00E04DAC">
      <w:pPr>
        <w:pStyle w:val="Notedebasdepage"/>
      </w:pPr>
      <w:r>
        <w:rPr>
          <w:rStyle w:val="Appelnotedebasdep"/>
        </w:rPr>
        <w:footnoteRef/>
      </w:r>
      <w:r>
        <w:t xml:space="preserve"> Voir documents annexes concernant les Groupes de Travail, notamment le diagramme sur le site internet ainsi </w:t>
      </w:r>
      <w:r w:rsidR="005F6488">
        <w:t>que les documents généraux sur le drive.</w:t>
      </w:r>
    </w:p>
  </w:footnote>
  <w:footnote w:id="9">
    <w:p w14:paraId="5774FCFE" w14:textId="5092329C" w:rsidR="005F54FD" w:rsidRDefault="005F54FD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="00A45761">
        <w:t>Sauf l’état des comptes, voir point 4.4</w:t>
      </w:r>
    </w:p>
  </w:footnote>
  <w:footnote w:id="10">
    <w:p w14:paraId="291FE2E6" w14:textId="77777777" w:rsidR="004A2DA8" w:rsidRDefault="004A2DA8" w:rsidP="004A2DA8">
      <w:pPr>
        <w:pStyle w:val="Notedebasdepage"/>
      </w:pPr>
      <w:r>
        <w:rPr>
          <w:rStyle w:val="Appelnotedebasdep"/>
        </w:rPr>
        <w:footnoteRef/>
      </w:r>
      <w:r>
        <w:t xml:space="preserve"> Sauf l’état des comptes, voir point 4.4</w:t>
      </w:r>
    </w:p>
  </w:footnote>
  <w:footnote w:id="11">
    <w:p w14:paraId="2154E2E2" w14:textId="19D3C458" w:rsidR="004A2DA8" w:rsidRDefault="004A2DA8">
      <w:pPr>
        <w:pStyle w:val="Notedebasdepage"/>
      </w:pPr>
      <w:r>
        <w:rPr>
          <w:rStyle w:val="Appelnotedebasdep"/>
        </w:rPr>
        <w:footnoteRef/>
      </w:r>
      <w:r>
        <w:t xml:space="preserve"> Sauf si </w:t>
      </w:r>
      <w:r w:rsidR="007E4D1F">
        <w:t>les informations</w:t>
      </w:r>
      <w:r>
        <w:t xml:space="preserve"> s’y avèrent confidentielles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55301" w14:textId="7FABFE44" w:rsidR="00DE46BE" w:rsidRDefault="00516EFD">
    <w:pPr>
      <w:pStyle w:val="En-tte"/>
    </w:pPr>
    <w:r>
      <w:t>05</w:t>
    </w:r>
    <w:r w:rsidR="00B50F31">
      <w:t>.0</w:t>
    </w:r>
    <w:r>
      <w:t>4</w:t>
    </w:r>
    <w:r w:rsidR="00DE46BE">
      <w:t>.</w:t>
    </w:r>
    <w:r>
      <w:t>2020</w:t>
    </w:r>
    <w:r w:rsidR="00DE46BE">
      <w:tab/>
      <w:t>Grève du Climat</w:t>
    </w:r>
    <w:r>
      <w:t xml:space="preserve"> Fribourg</w:t>
    </w:r>
    <w:r w:rsidR="00DE46BE">
      <w:tab/>
      <w:t>GT Structure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F22216"/>
    <w:multiLevelType w:val="hybridMultilevel"/>
    <w:tmpl w:val="C3A40B7C"/>
    <w:lvl w:ilvl="0" w:tplc="100C0013">
      <w:start w:val="1"/>
      <w:numFmt w:val="upperRoman"/>
      <w:lvlText w:val="%1."/>
      <w:lvlJc w:val="right"/>
      <w:pPr>
        <w:ind w:left="644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F2407"/>
    <w:multiLevelType w:val="hybridMultilevel"/>
    <w:tmpl w:val="2DE86802"/>
    <w:lvl w:ilvl="0" w:tplc="C31A7912">
      <w:start w:val="2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19B"/>
    <w:rsid w:val="00024BBF"/>
    <w:rsid w:val="0005583C"/>
    <w:rsid w:val="000C03DD"/>
    <w:rsid w:val="000D7AF3"/>
    <w:rsid w:val="0012530C"/>
    <w:rsid w:val="001402DE"/>
    <w:rsid w:val="00192339"/>
    <w:rsid w:val="001D73F6"/>
    <w:rsid w:val="001F11CC"/>
    <w:rsid w:val="00243D93"/>
    <w:rsid w:val="00263820"/>
    <w:rsid w:val="002D7E0F"/>
    <w:rsid w:val="0031584C"/>
    <w:rsid w:val="00341DAE"/>
    <w:rsid w:val="00383A75"/>
    <w:rsid w:val="003A63B2"/>
    <w:rsid w:val="003B5E7A"/>
    <w:rsid w:val="003B6D71"/>
    <w:rsid w:val="003C05AB"/>
    <w:rsid w:val="003E7B00"/>
    <w:rsid w:val="00415316"/>
    <w:rsid w:val="004613DA"/>
    <w:rsid w:val="004A1537"/>
    <w:rsid w:val="004A2DA8"/>
    <w:rsid w:val="004B519B"/>
    <w:rsid w:val="004D21D8"/>
    <w:rsid w:val="004F33F0"/>
    <w:rsid w:val="00516EFD"/>
    <w:rsid w:val="00534EE7"/>
    <w:rsid w:val="005415F7"/>
    <w:rsid w:val="00553538"/>
    <w:rsid w:val="0056135F"/>
    <w:rsid w:val="005A177A"/>
    <w:rsid w:val="005A456A"/>
    <w:rsid w:val="005B1E8D"/>
    <w:rsid w:val="005E508C"/>
    <w:rsid w:val="005F517F"/>
    <w:rsid w:val="005F54FD"/>
    <w:rsid w:val="005F6488"/>
    <w:rsid w:val="00623093"/>
    <w:rsid w:val="0063173D"/>
    <w:rsid w:val="00650734"/>
    <w:rsid w:val="006841C3"/>
    <w:rsid w:val="006C14EB"/>
    <w:rsid w:val="0073355A"/>
    <w:rsid w:val="00755E19"/>
    <w:rsid w:val="0077173D"/>
    <w:rsid w:val="00772358"/>
    <w:rsid w:val="007962C6"/>
    <w:rsid w:val="007A10E7"/>
    <w:rsid w:val="007C1EE6"/>
    <w:rsid w:val="007E4D1F"/>
    <w:rsid w:val="008412B6"/>
    <w:rsid w:val="0084749A"/>
    <w:rsid w:val="00851926"/>
    <w:rsid w:val="00877A6B"/>
    <w:rsid w:val="008B2DD2"/>
    <w:rsid w:val="008D0804"/>
    <w:rsid w:val="008F1F33"/>
    <w:rsid w:val="008F235F"/>
    <w:rsid w:val="008F4153"/>
    <w:rsid w:val="00905493"/>
    <w:rsid w:val="0090762A"/>
    <w:rsid w:val="009179F0"/>
    <w:rsid w:val="00960A6A"/>
    <w:rsid w:val="00971372"/>
    <w:rsid w:val="009A204A"/>
    <w:rsid w:val="00A04AFF"/>
    <w:rsid w:val="00A10FAB"/>
    <w:rsid w:val="00A45761"/>
    <w:rsid w:val="00A90C89"/>
    <w:rsid w:val="00AA0BA8"/>
    <w:rsid w:val="00AC7EBB"/>
    <w:rsid w:val="00AE7DF1"/>
    <w:rsid w:val="00B41828"/>
    <w:rsid w:val="00B50F31"/>
    <w:rsid w:val="00B72BDA"/>
    <w:rsid w:val="00B82F4D"/>
    <w:rsid w:val="00BA6B31"/>
    <w:rsid w:val="00BA71CF"/>
    <w:rsid w:val="00BC26DB"/>
    <w:rsid w:val="00BC78B7"/>
    <w:rsid w:val="00BE3B14"/>
    <w:rsid w:val="00BE6C86"/>
    <w:rsid w:val="00C30796"/>
    <w:rsid w:val="00C37C25"/>
    <w:rsid w:val="00C70E27"/>
    <w:rsid w:val="00CC2C64"/>
    <w:rsid w:val="00CE0423"/>
    <w:rsid w:val="00CE6760"/>
    <w:rsid w:val="00D61E9F"/>
    <w:rsid w:val="00D650E0"/>
    <w:rsid w:val="00D667EE"/>
    <w:rsid w:val="00D74C5A"/>
    <w:rsid w:val="00DA4AAD"/>
    <w:rsid w:val="00DC240A"/>
    <w:rsid w:val="00DC4068"/>
    <w:rsid w:val="00DE46BE"/>
    <w:rsid w:val="00DF0A48"/>
    <w:rsid w:val="00E04DAC"/>
    <w:rsid w:val="00E07530"/>
    <w:rsid w:val="00E16697"/>
    <w:rsid w:val="00E73FE8"/>
    <w:rsid w:val="00EA4891"/>
    <w:rsid w:val="00EE6B31"/>
    <w:rsid w:val="00F55E81"/>
    <w:rsid w:val="00F836A4"/>
    <w:rsid w:val="00FB0492"/>
    <w:rsid w:val="00FE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84612A"/>
  <w15:chartTrackingRefBased/>
  <w15:docId w15:val="{923BF843-2A81-4D5D-BA2E-74B80FD4D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075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075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B5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B519B"/>
  </w:style>
  <w:style w:type="paragraph" w:styleId="Pieddepage">
    <w:name w:val="footer"/>
    <w:basedOn w:val="Normal"/>
    <w:link w:val="PieddepageCar"/>
    <w:uiPriority w:val="99"/>
    <w:unhideWhenUsed/>
    <w:rsid w:val="004B5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519B"/>
  </w:style>
  <w:style w:type="table" w:styleId="Grilledutableau">
    <w:name w:val="Table Grid"/>
    <w:basedOn w:val="TableauNormal"/>
    <w:uiPriority w:val="39"/>
    <w:rsid w:val="00E07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07530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E0753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E075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E0753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E0753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M1">
    <w:name w:val="toc 1"/>
    <w:basedOn w:val="Normal"/>
    <w:next w:val="Normal"/>
    <w:autoRedefine/>
    <w:uiPriority w:val="39"/>
    <w:unhideWhenUsed/>
    <w:rsid w:val="00E07530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TM2">
    <w:name w:val="toc 2"/>
    <w:basedOn w:val="Normal"/>
    <w:next w:val="Normal"/>
    <w:autoRedefine/>
    <w:uiPriority w:val="39"/>
    <w:unhideWhenUsed/>
    <w:rsid w:val="00E07530"/>
    <w:pPr>
      <w:spacing w:after="0"/>
      <w:ind w:left="220"/>
    </w:pPr>
    <w:rPr>
      <w:rFonts w:cstheme="minorHAnsi"/>
      <w:smallCaps/>
      <w:sz w:val="20"/>
      <w:szCs w:val="20"/>
    </w:rPr>
  </w:style>
  <w:style w:type="paragraph" w:styleId="TM3">
    <w:name w:val="toc 3"/>
    <w:basedOn w:val="Normal"/>
    <w:next w:val="Normal"/>
    <w:autoRedefine/>
    <w:uiPriority w:val="39"/>
    <w:unhideWhenUsed/>
    <w:rsid w:val="00E07530"/>
    <w:pPr>
      <w:spacing w:after="0"/>
      <w:ind w:left="440"/>
    </w:pPr>
    <w:rPr>
      <w:rFonts w:cstheme="minorHAnsi"/>
      <w:i/>
      <w:iCs/>
      <w:sz w:val="20"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E07530"/>
    <w:pPr>
      <w:spacing w:after="0"/>
      <w:ind w:left="660"/>
    </w:pPr>
    <w:rPr>
      <w:rFonts w:cstheme="minorHAnsi"/>
      <w:sz w:val="18"/>
      <w:szCs w:val="18"/>
    </w:rPr>
  </w:style>
  <w:style w:type="paragraph" w:styleId="TM5">
    <w:name w:val="toc 5"/>
    <w:basedOn w:val="Normal"/>
    <w:next w:val="Normal"/>
    <w:autoRedefine/>
    <w:uiPriority w:val="39"/>
    <w:unhideWhenUsed/>
    <w:rsid w:val="00E07530"/>
    <w:pPr>
      <w:spacing w:after="0"/>
      <w:ind w:left="880"/>
    </w:pPr>
    <w:rPr>
      <w:rFonts w:cstheme="minorHAnsi"/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E07530"/>
    <w:pPr>
      <w:spacing w:after="0"/>
      <w:ind w:left="1100"/>
    </w:pPr>
    <w:rPr>
      <w:rFonts w:cstheme="minorHAnsi"/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E07530"/>
    <w:pPr>
      <w:spacing w:after="0"/>
      <w:ind w:left="1320"/>
    </w:pPr>
    <w:rPr>
      <w:rFonts w:cstheme="minorHAnsi"/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E07530"/>
    <w:pPr>
      <w:spacing w:after="0"/>
      <w:ind w:left="1540"/>
    </w:pPr>
    <w:rPr>
      <w:rFonts w:cstheme="minorHAnsi"/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E07530"/>
    <w:pPr>
      <w:spacing w:after="0"/>
      <w:ind w:left="1760"/>
    </w:pPr>
    <w:rPr>
      <w:rFonts w:cstheme="minorHAns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E07530"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F415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F415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F4153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E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E9F"/>
    <w:rPr>
      <w:rFonts w:ascii="Segoe UI" w:hAnsi="Segoe UI" w:cs="Segoe UI"/>
      <w:sz w:val="18"/>
      <w:szCs w:val="18"/>
    </w:rPr>
  </w:style>
  <w:style w:type="table" w:customStyle="1" w:styleId="Grilledutableau1">
    <w:name w:val="Grille du tableau1"/>
    <w:basedOn w:val="TableauNormal"/>
    <w:next w:val="Grilledutableau"/>
    <w:uiPriority w:val="39"/>
    <w:rsid w:val="00FE0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3E67D-5B40-4E82-AD5B-5855C686A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1186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 Stijve</dc:creator>
  <cp:keywords/>
  <dc:description/>
  <cp:lastModifiedBy>Theo Stijve</cp:lastModifiedBy>
  <cp:revision>2</cp:revision>
  <cp:lastPrinted>2019-05-14T21:34:00Z</cp:lastPrinted>
  <dcterms:created xsi:type="dcterms:W3CDTF">2020-04-06T02:13:00Z</dcterms:created>
  <dcterms:modified xsi:type="dcterms:W3CDTF">2020-04-06T02:13:00Z</dcterms:modified>
</cp:coreProperties>
</file>